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1240" w:rsidRDefault="00F1760E">
      <w:pPr>
        <w:ind w:right="851"/>
        <w:jc w:val="right"/>
        <w:rPr>
          <w:rFonts w:ascii="Verdana" w:hAnsi="Verdana"/>
          <w:b/>
          <w:sz w:val="20"/>
        </w:rPr>
      </w:pPr>
      <w:bookmarkStart w:id="0" w:name="_GoBack"/>
      <w:bookmarkEnd w:id="0"/>
      <w:r>
        <w:rPr>
          <w:rFonts w:ascii="Verdana" w:hAnsi="Verdana"/>
          <w:b/>
          <w:sz w:val="20"/>
        </w:rPr>
        <w:t>Lombardia/</w:t>
      </w:r>
      <w:r w:rsidR="00A04E55">
        <w:rPr>
          <w:rFonts w:ascii="Verdana" w:hAnsi="Verdana"/>
          <w:b/>
          <w:sz w:val="20"/>
        </w:rPr>
        <w:t>285</w:t>
      </w:r>
      <w:r>
        <w:rPr>
          <w:rFonts w:ascii="Verdana" w:hAnsi="Verdana"/>
          <w:b/>
          <w:sz w:val="20"/>
        </w:rPr>
        <w:t>/2011</w:t>
      </w:r>
      <w:r w:rsidR="00B91240">
        <w:rPr>
          <w:rFonts w:ascii="Verdana" w:hAnsi="Verdana"/>
          <w:b/>
          <w:sz w:val="20"/>
        </w:rPr>
        <w:t>/PAR</w:t>
      </w:r>
    </w:p>
    <w:p w:rsidR="00B91240" w:rsidRDefault="00B91240">
      <w:pPr>
        <w:ind w:left="851" w:right="851"/>
        <w:jc w:val="center"/>
        <w:rPr>
          <w:rFonts w:ascii="Verdana" w:hAnsi="Verdana"/>
          <w:b/>
          <w:sz w:val="20"/>
        </w:rPr>
      </w:pPr>
    </w:p>
    <w:p w:rsidR="00B91240" w:rsidRDefault="00B91240">
      <w:pPr>
        <w:ind w:left="851" w:right="851" w:firstLine="49"/>
        <w:jc w:val="center"/>
        <w:rPr>
          <w:rFonts w:ascii="Verdana" w:hAnsi="Verdana"/>
          <w:b/>
          <w:sz w:val="20"/>
        </w:rPr>
      </w:pPr>
    </w:p>
    <w:p w:rsidR="00B91240" w:rsidRDefault="00C17746">
      <w:pPr>
        <w:ind w:left="851" w:right="851" w:firstLine="49"/>
        <w:jc w:val="center"/>
        <w:rPr>
          <w:rFonts w:ascii="Verdana" w:hAnsi="Verdana"/>
          <w:b/>
          <w:sz w:val="20"/>
        </w:rPr>
      </w:pPr>
      <w:r>
        <w:rPr>
          <w:rFonts w:ascii="Verdana" w:hAnsi="Verdana"/>
          <w:b/>
          <w:noProof/>
          <w:sz w:val="20"/>
        </w:rPr>
        <w:drawing>
          <wp:anchor distT="0" distB="0" distL="114300" distR="114300" simplePos="0" relativeHeight="251657728" behindDoc="0" locked="0" layoutInCell="1" allowOverlap="1">
            <wp:simplePos x="0" y="0"/>
            <wp:positionH relativeFrom="column">
              <wp:posOffset>2743200</wp:posOffset>
            </wp:positionH>
            <wp:positionV relativeFrom="paragraph">
              <wp:posOffset>-240665</wp:posOffset>
            </wp:positionV>
            <wp:extent cx="731520" cy="699770"/>
            <wp:effectExtent l="0" t="0" r="0" b="5080"/>
            <wp:wrapSquare wrapText="left"/>
            <wp:docPr id="7"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31520" cy="699770"/>
                    </a:xfrm>
                    <a:prstGeom prst="rect">
                      <a:avLst/>
                    </a:prstGeom>
                    <a:noFill/>
                  </pic:spPr>
                </pic:pic>
              </a:graphicData>
            </a:graphic>
            <wp14:sizeRelH relativeFrom="page">
              <wp14:pctWidth>0</wp14:pctWidth>
            </wp14:sizeRelH>
            <wp14:sizeRelV relativeFrom="page">
              <wp14:pctHeight>0</wp14:pctHeight>
            </wp14:sizeRelV>
          </wp:anchor>
        </w:drawing>
      </w:r>
    </w:p>
    <w:p w:rsidR="00B91240" w:rsidRDefault="00B91240">
      <w:pPr>
        <w:ind w:left="851" w:right="851" w:firstLine="49"/>
        <w:jc w:val="center"/>
        <w:rPr>
          <w:rFonts w:ascii="Verdana" w:hAnsi="Verdana"/>
          <w:b/>
          <w:sz w:val="20"/>
        </w:rPr>
      </w:pPr>
    </w:p>
    <w:p w:rsidR="00787EB8" w:rsidRDefault="00787EB8" w:rsidP="00327E8B">
      <w:pPr>
        <w:ind w:left="851" w:right="851"/>
        <w:jc w:val="center"/>
        <w:rPr>
          <w:rFonts w:ascii="Verdana" w:hAnsi="Verdana"/>
          <w:b/>
          <w:sz w:val="20"/>
        </w:rPr>
      </w:pPr>
    </w:p>
    <w:p w:rsidR="00B91240" w:rsidRDefault="00B91240" w:rsidP="00327E8B">
      <w:pPr>
        <w:ind w:left="851" w:right="851"/>
        <w:jc w:val="center"/>
        <w:rPr>
          <w:rFonts w:ascii="Verdana" w:hAnsi="Verdana"/>
          <w:b/>
          <w:sz w:val="20"/>
        </w:rPr>
      </w:pPr>
      <w:r>
        <w:rPr>
          <w:rFonts w:ascii="Verdana" w:hAnsi="Verdana"/>
          <w:b/>
          <w:sz w:val="20"/>
        </w:rPr>
        <w:t>REPUBBLICA ITALIANA</w:t>
      </w:r>
    </w:p>
    <w:p w:rsidR="00B91240" w:rsidRDefault="00B91240" w:rsidP="00327E8B">
      <w:pPr>
        <w:ind w:left="851" w:right="851"/>
        <w:jc w:val="center"/>
      </w:pPr>
      <w:smartTag w:uri="urn:schemas-microsoft-com:office:smarttags" w:element="PersonName">
        <w:smartTagPr>
          <w:attr w:name="ProductID" w:val="LA CORTE DEI"/>
        </w:smartTagPr>
        <w:r>
          <w:rPr>
            <w:rFonts w:ascii="Verdana" w:hAnsi="Verdana"/>
            <w:b/>
            <w:sz w:val="20"/>
          </w:rPr>
          <w:t>LA CORTE DEI</w:t>
        </w:r>
      </w:smartTag>
      <w:r>
        <w:rPr>
          <w:rFonts w:ascii="Verdana" w:hAnsi="Verdana"/>
          <w:b/>
          <w:sz w:val="20"/>
        </w:rPr>
        <w:t xml:space="preserve"> CONTI</w:t>
      </w:r>
    </w:p>
    <w:p w:rsidR="00B91240" w:rsidRDefault="00B91240" w:rsidP="00327E8B">
      <w:pPr>
        <w:ind w:left="851" w:right="851"/>
        <w:jc w:val="center"/>
        <w:rPr>
          <w:rFonts w:ascii="Verdana" w:hAnsi="Verdana"/>
          <w:b/>
          <w:sz w:val="20"/>
        </w:rPr>
      </w:pPr>
      <w:r>
        <w:rPr>
          <w:rFonts w:ascii="Verdana" w:hAnsi="Verdana"/>
          <w:b/>
          <w:sz w:val="20"/>
        </w:rPr>
        <w:t>IN</w:t>
      </w:r>
    </w:p>
    <w:p w:rsidR="00B91240" w:rsidRDefault="00B91240" w:rsidP="00327E8B">
      <w:pPr>
        <w:ind w:left="851" w:right="851"/>
        <w:jc w:val="center"/>
        <w:rPr>
          <w:rFonts w:ascii="Verdana" w:hAnsi="Verdana"/>
          <w:b/>
          <w:sz w:val="20"/>
        </w:rPr>
      </w:pPr>
      <w:r>
        <w:rPr>
          <w:rFonts w:ascii="Verdana" w:hAnsi="Verdana"/>
          <w:b/>
          <w:sz w:val="20"/>
        </w:rPr>
        <w:t>SEZIONE REGIONALE DI CONTROLLO PER LA</w:t>
      </w:r>
    </w:p>
    <w:p w:rsidR="00B91240" w:rsidRDefault="00B91240" w:rsidP="00327E8B">
      <w:pPr>
        <w:ind w:left="851" w:right="851"/>
        <w:jc w:val="center"/>
        <w:rPr>
          <w:rFonts w:ascii="Verdana" w:hAnsi="Verdana"/>
          <w:b/>
          <w:sz w:val="20"/>
        </w:rPr>
      </w:pPr>
      <w:r>
        <w:rPr>
          <w:rFonts w:ascii="Verdana" w:hAnsi="Verdana"/>
          <w:b/>
          <w:sz w:val="20"/>
        </w:rPr>
        <w:t>LOMBARDIA</w:t>
      </w:r>
    </w:p>
    <w:p w:rsidR="00B91240" w:rsidRDefault="00B91240" w:rsidP="00327E8B">
      <w:pPr>
        <w:ind w:left="851" w:right="851"/>
        <w:rPr>
          <w:rFonts w:ascii="Verdana" w:hAnsi="Verdana"/>
          <w:sz w:val="20"/>
        </w:rPr>
      </w:pPr>
      <w:r>
        <w:rPr>
          <w:rFonts w:ascii="Verdana" w:hAnsi="Verdana"/>
          <w:sz w:val="20"/>
        </w:rPr>
        <w:t> </w:t>
      </w:r>
    </w:p>
    <w:p w:rsidR="00B91240" w:rsidRDefault="00B91240" w:rsidP="00327E8B">
      <w:pPr>
        <w:ind w:left="851" w:right="851"/>
        <w:rPr>
          <w:rFonts w:ascii="Verdana" w:hAnsi="Verdana"/>
          <w:sz w:val="20"/>
        </w:rPr>
      </w:pPr>
      <w:r>
        <w:rPr>
          <w:rFonts w:ascii="Verdana" w:hAnsi="Verdana"/>
          <w:sz w:val="20"/>
        </w:rPr>
        <w:t>composta dai magistrati:</w:t>
      </w:r>
    </w:p>
    <w:p w:rsidR="00B91240" w:rsidRDefault="00B91240" w:rsidP="00327E8B">
      <w:pPr>
        <w:ind w:left="851" w:right="851"/>
        <w:rPr>
          <w:rFonts w:ascii="Verdana" w:hAnsi="Verdana"/>
          <w:sz w:val="20"/>
        </w:rPr>
      </w:pPr>
      <w:r>
        <w:rPr>
          <w:rFonts w:ascii="Verdana" w:hAnsi="Verdana"/>
          <w:sz w:val="20"/>
        </w:rPr>
        <w:t>dott. Nicola Mastropasqua</w:t>
      </w:r>
      <w:r>
        <w:rPr>
          <w:rFonts w:ascii="Verdana" w:hAnsi="Verdana"/>
          <w:sz w:val="20"/>
        </w:rPr>
        <w:tab/>
        <w:t xml:space="preserve">        </w:t>
      </w:r>
      <w:r>
        <w:rPr>
          <w:rFonts w:ascii="Verdana" w:hAnsi="Verdana"/>
          <w:sz w:val="20"/>
        </w:rPr>
        <w:tab/>
      </w:r>
      <w:r>
        <w:rPr>
          <w:rFonts w:ascii="Verdana" w:hAnsi="Verdana"/>
          <w:sz w:val="20"/>
        </w:rPr>
        <w:tab/>
        <w:t>Presidente</w:t>
      </w:r>
    </w:p>
    <w:p w:rsidR="00B91240" w:rsidRDefault="00B91240" w:rsidP="00327E8B">
      <w:pPr>
        <w:ind w:left="851" w:right="851"/>
        <w:rPr>
          <w:rFonts w:ascii="Verdana" w:hAnsi="Verdana"/>
          <w:sz w:val="20"/>
        </w:rPr>
      </w:pPr>
      <w:r>
        <w:rPr>
          <w:rFonts w:ascii="Verdana" w:hAnsi="Verdana"/>
          <w:sz w:val="20"/>
        </w:rPr>
        <w:t>dott. Antonio Caruso</w:t>
      </w:r>
      <w:r>
        <w:rPr>
          <w:rFonts w:ascii="Verdana" w:hAnsi="Verdana"/>
          <w:sz w:val="20"/>
        </w:rPr>
        <w:tab/>
        <w:t xml:space="preserve">      </w:t>
      </w:r>
      <w:r>
        <w:rPr>
          <w:rFonts w:ascii="Verdana" w:hAnsi="Verdana"/>
          <w:sz w:val="20"/>
        </w:rPr>
        <w:tab/>
      </w:r>
      <w:r>
        <w:rPr>
          <w:rFonts w:ascii="Verdana" w:hAnsi="Verdana"/>
          <w:sz w:val="20"/>
        </w:rPr>
        <w:tab/>
        <w:t xml:space="preserve">Consigliere </w:t>
      </w:r>
    </w:p>
    <w:p w:rsidR="00B91240" w:rsidRDefault="00B91240" w:rsidP="00327E8B">
      <w:pPr>
        <w:ind w:left="851" w:right="851"/>
        <w:rPr>
          <w:rFonts w:ascii="Verdana" w:hAnsi="Verdana"/>
          <w:sz w:val="20"/>
        </w:rPr>
      </w:pPr>
      <w:r>
        <w:rPr>
          <w:rFonts w:ascii="Verdana" w:hAnsi="Verdana"/>
          <w:sz w:val="20"/>
        </w:rPr>
        <w:t>dott. Gianluca Braghò</w:t>
      </w:r>
      <w:r>
        <w:rPr>
          <w:rFonts w:ascii="Verdana" w:hAnsi="Verdana"/>
          <w:sz w:val="20"/>
        </w:rPr>
        <w:tab/>
      </w:r>
      <w:r>
        <w:rPr>
          <w:rFonts w:ascii="Verdana" w:hAnsi="Verdana"/>
          <w:sz w:val="20"/>
        </w:rPr>
        <w:tab/>
      </w:r>
      <w:r>
        <w:rPr>
          <w:rFonts w:ascii="Verdana" w:hAnsi="Verdana"/>
          <w:sz w:val="20"/>
        </w:rPr>
        <w:tab/>
        <w:t>Referendario</w:t>
      </w:r>
    </w:p>
    <w:p w:rsidR="00B91240" w:rsidRDefault="00AC13FA" w:rsidP="00327E8B">
      <w:pPr>
        <w:ind w:left="851" w:right="851"/>
        <w:rPr>
          <w:rFonts w:ascii="Verdana" w:hAnsi="Verdana"/>
          <w:sz w:val="20"/>
        </w:rPr>
      </w:pPr>
      <w:r>
        <w:rPr>
          <w:rFonts w:ascii="Verdana" w:hAnsi="Verdana"/>
          <w:sz w:val="20"/>
        </w:rPr>
        <w:t xml:space="preserve">dott. </w:t>
      </w:r>
      <w:r w:rsidR="00B91240">
        <w:rPr>
          <w:rFonts w:ascii="Verdana" w:hAnsi="Verdana"/>
          <w:sz w:val="20"/>
        </w:rPr>
        <w:t>Massimo Valero</w:t>
      </w:r>
      <w:r w:rsidR="00B91240">
        <w:rPr>
          <w:rFonts w:ascii="Verdana" w:hAnsi="Verdana"/>
          <w:sz w:val="20"/>
        </w:rPr>
        <w:tab/>
      </w:r>
      <w:r w:rsidR="00B91240">
        <w:rPr>
          <w:rFonts w:ascii="Verdana" w:hAnsi="Verdana"/>
          <w:sz w:val="20"/>
        </w:rPr>
        <w:tab/>
        <w:t xml:space="preserve">       </w:t>
      </w:r>
      <w:r w:rsidR="00B91240">
        <w:rPr>
          <w:rFonts w:ascii="Verdana" w:hAnsi="Verdana"/>
          <w:sz w:val="20"/>
        </w:rPr>
        <w:tab/>
        <w:t>Referendario</w:t>
      </w:r>
    </w:p>
    <w:p w:rsidR="00B91240" w:rsidRDefault="00B91240" w:rsidP="00327E8B">
      <w:pPr>
        <w:ind w:left="851" w:right="851"/>
        <w:rPr>
          <w:rFonts w:ascii="Verdana" w:hAnsi="Verdana"/>
          <w:sz w:val="20"/>
        </w:rPr>
      </w:pPr>
      <w:r>
        <w:rPr>
          <w:rFonts w:ascii="Verdana" w:hAnsi="Verdana"/>
          <w:sz w:val="20"/>
        </w:rPr>
        <w:t>dott. Alessandro Napoli</w:t>
      </w:r>
      <w:r>
        <w:rPr>
          <w:rFonts w:ascii="Verdana" w:hAnsi="Verdana"/>
          <w:sz w:val="20"/>
        </w:rPr>
        <w:tab/>
        <w:t xml:space="preserve">       </w:t>
      </w:r>
      <w:r>
        <w:rPr>
          <w:rFonts w:ascii="Verdana" w:hAnsi="Verdana"/>
          <w:sz w:val="20"/>
        </w:rPr>
        <w:tab/>
      </w:r>
      <w:r>
        <w:rPr>
          <w:rFonts w:ascii="Verdana" w:hAnsi="Verdana"/>
          <w:sz w:val="20"/>
        </w:rPr>
        <w:tab/>
        <w:t>Referendario</w:t>
      </w:r>
    </w:p>
    <w:p w:rsidR="00B91240" w:rsidRDefault="00B91240" w:rsidP="00327E8B">
      <w:pPr>
        <w:ind w:left="851" w:right="851"/>
        <w:rPr>
          <w:rFonts w:ascii="Verdana" w:hAnsi="Verdana"/>
          <w:sz w:val="20"/>
        </w:rPr>
      </w:pPr>
      <w:r>
        <w:rPr>
          <w:rFonts w:ascii="Verdana" w:hAnsi="Verdana"/>
          <w:sz w:val="20"/>
        </w:rPr>
        <w:t>dott.ssa Laura De Rentiis</w:t>
      </w:r>
      <w:r>
        <w:rPr>
          <w:rFonts w:ascii="Verdana" w:hAnsi="Verdana"/>
          <w:sz w:val="20"/>
        </w:rPr>
        <w:tab/>
        <w:t xml:space="preserve">       </w:t>
      </w:r>
      <w:r>
        <w:rPr>
          <w:rFonts w:ascii="Verdana" w:hAnsi="Verdana"/>
          <w:sz w:val="20"/>
        </w:rPr>
        <w:tab/>
      </w:r>
      <w:r>
        <w:rPr>
          <w:rFonts w:ascii="Verdana" w:hAnsi="Verdana"/>
          <w:sz w:val="20"/>
        </w:rPr>
        <w:tab/>
        <w:t>Referendario (relatore)</w:t>
      </w:r>
    </w:p>
    <w:p w:rsidR="00B91240" w:rsidRDefault="00B91240" w:rsidP="00327E8B">
      <w:pPr>
        <w:ind w:left="851" w:right="851"/>
        <w:rPr>
          <w:rFonts w:ascii="Verdana" w:hAnsi="Verdana"/>
          <w:b/>
          <w:bCs/>
          <w:sz w:val="20"/>
        </w:rPr>
      </w:pPr>
    </w:p>
    <w:p w:rsidR="00B91240" w:rsidRDefault="00B91240" w:rsidP="00327E8B">
      <w:pPr>
        <w:ind w:left="851" w:right="851" w:firstLine="360"/>
        <w:jc w:val="center"/>
        <w:rPr>
          <w:rFonts w:ascii="Verdana" w:hAnsi="Verdana"/>
          <w:b/>
          <w:bCs/>
          <w:sz w:val="20"/>
          <w:szCs w:val="20"/>
        </w:rPr>
      </w:pPr>
      <w:r>
        <w:rPr>
          <w:rFonts w:ascii="Verdana" w:hAnsi="Verdana"/>
          <w:b/>
          <w:bCs/>
          <w:sz w:val="20"/>
          <w:szCs w:val="20"/>
        </w:rPr>
        <w:t xml:space="preserve">nell’adunanza del </w:t>
      </w:r>
      <w:r w:rsidR="00C65857">
        <w:rPr>
          <w:rFonts w:ascii="Verdana" w:hAnsi="Verdana"/>
          <w:b/>
          <w:bCs/>
          <w:sz w:val="20"/>
          <w:szCs w:val="20"/>
        </w:rPr>
        <w:t>10 maggio 2011</w:t>
      </w:r>
    </w:p>
    <w:p w:rsidR="00B91240" w:rsidRDefault="00B91240" w:rsidP="00327E8B">
      <w:pPr>
        <w:ind w:left="851" w:right="851" w:firstLine="360"/>
        <w:rPr>
          <w:rFonts w:ascii="Verdana" w:hAnsi="Verdana"/>
          <w:sz w:val="20"/>
          <w:szCs w:val="20"/>
        </w:rPr>
      </w:pPr>
      <w:r>
        <w:rPr>
          <w:rFonts w:ascii="Verdana" w:hAnsi="Verdana"/>
          <w:sz w:val="20"/>
          <w:szCs w:val="20"/>
        </w:rPr>
        <w:t>Visto il testo unico delle leggi sulla Corte dei conti, approvato con il regio decreto 12 luglio 1934, n. 1214, e successive modificazioni;</w:t>
      </w:r>
    </w:p>
    <w:p w:rsidR="00B91240" w:rsidRDefault="00B91240" w:rsidP="00327E8B">
      <w:pPr>
        <w:ind w:left="851" w:right="851" w:firstLine="360"/>
        <w:rPr>
          <w:rFonts w:ascii="Verdana" w:hAnsi="Verdana"/>
          <w:sz w:val="20"/>
          <w:szCs w:val="20"/>
        </w:rPr>
      </w:pPr>
      <w:r>
        <w:rPr>
          <w:rFonts w:ascii="Verdana" w:hAnsi="Verdana"/>
          <w:sz w:val="20"/>
          <w:szCs w:val="20"/>
        </w:rPr>
        <w:t>Vista la legge 21 marzo 1953, n. 161;</w:t>
      </w:r>
    </w:p>
    <w:p w:rsidR="00B91240" w:rsidRDefault="00B91240" w:rsidP="00327E8B">
      <w:pPr>
        <w:ind w:left="851" w:right="851" w:firstLine="360"/>
        <w:rPr>
          <w:rFonts w:ascii="Verdana" w:hAnsi="Verdana"/>
          <w:sz w:val="20"/>
          <w:szCs w:val="20"/>
        </w:rPr>
      </w:pPr>
      <w:r>
        <w:rPr>
          <w:rFonts w:ascii="Verdana" w:hAnsi="Verdana"/>
          <w:sz w:val="20"/>
          <w:szCs w:val="20"/>
        </w:rPr>
        <w:t>Vista la legge 14 gennaio 1994, n. 20;</w:t>
      </w:r>
    </w:p>
    <w:p w:rsidR="00B91240" w:rsidRDefault="00B91240" w:rsidP="00327E8B">
      <w:pPr>
        <w:pStyle w:val="Testodelblocco1"/>
        <w:spacing w:line="360" w:lineRule="auto"/>
        <w:ind w:firstLine="360"/>
        <w:rPr>
          <w:rFonts w:ascii="Verdana" w:hAnsi="Verdana"/>
          <w:sz w:val="20"/>
          <w:szCs w:val="20"/>
        </w:rPr>
      </w:pPr>
      <w:r>
        <w:rPr>
          <w:rFonts w:ascii="Verdana" w:hAnsi="Verdana"/>
          <w:sz w:val="20"/>
          <w:szCs w:val="20"/>
        </w:rPr>
        <w:t>Vista la deliberazione delle Sezioni riunite della Corte dei conti n. 14/2000 del 16 giugno 2000, che ha approvato il regolamento per l’organizzazione delle funzioni di controllo della Corte dei conti, modificata con le deliberazioni delle Sezioni riunite n. 2 del 3 luglio 2003 e n. 1 del 17 dicembre 2004;</w:t>
      </w:r>
    </w:p>
    <w:p w:rsidR="00B91240" w:rsidRDefault="00B91240" w:rsidP="00327E8B">
      <w:pPr>
        <w:ind w:left="851" w:right="851" w:firstLine="360"/>
        <w:rPr>
          <w:rFonts w:ascii="Verdana" w:hAnsi="Verdana"/>
          <w:sz w:val="20"/>
          <w:szCs w:val="20"/>
        </w:rPr>
      </w:pPr>
      <w:r>
        <w:rPr>
          <w:rFonts w:ascii="Verdana" w:hAnsi="Verdana"/>
          <w:sz w:val="20"/>
          <w:szCs w:val="20"/>
        </w:rPr>
        <w:t>Visto il decreto legislativo 18 agosto 2000, n. 267 recante il Testo unico delle leggi sull’ordinamento degli enti locali;</w:t>
      </w:r>
    </w:p>
    <w:p w:rsidR="00B91240" w:rsidRDefault="00B91240" w:rsidP="00327E8B">
      <w:pPr>
        <w:ind w:left="851" w:right="851" w:firstLine="360"/>
        <w:rPr>
          <w:rFonts w:ascii="Verdana" w:hAnsi="Verdana"/>
          <w:sz w:val="20"/>
          <w:szCs w:val="20"/>
        </w:rPr>
      </w:pPr>
      <w:r>
        <w:rPr>
          <w:rFonts w:ascii="Verdana" w:hAnsi="Verdana"/>
          <w:sz w:val="20"/>
          <w:szCs w:val="20"/>
        </w:rPr>
        <w:t>Vista la legge 5 giugno 2003, n. 131;</w:t>
      </w:r>
    </w:p>
    <w:p w:rsidR="00B91240" w:rsidRDefault="00B91240" w:rsidP="00327E8B">
      <w:pPr>
        <w:ind w:left="851" w:right="851" w:firstLine="360"/>
        <w:rPr>
          <w:rFonts w:ascii="Verdana" w:hAnsi="Verdana"/>
          <w:sz w:val="20"/>
          <w:szCs w:val="20"/>
        </w:rPr>
      </w:pPr>
      <w:r>
        <w:rPr>
          <w:rFonts w:ascii="Verdana" w:hAnsi="Verdana"/>
          <w:sz w:val="20"/>
          <w:szCs w:val="20"/>
        </w:rPr>
        <w:t xml:space="preserve">Vista la deliberazione n. 1/pareri/2004 del 3 novembre 2004 con la quale </w:t>
      </w:r>
      <w:smartTag w:uri="urn:schemas-microsoft-com:office:smarttags" w:element="PersonName">
        <w:smartTagPr>
          <w:attr w:name="ProductID" w:val="la Sezione"/>
        </w:smartTagPr>
        <w:r>
          <w:rPr>
            <w:rFonts w:ascii="Verdana" w:hAnsi="Verdana"/>
            <w:sz w:val="20"/>
            <w:szCs w:val="20"/>
          </w:rPr>
          <w:t>la Sezione</w:t>
        </w:r>
      </w:smartTag>
      <w:r>
        <w:rPr>
          <w:rFonts w:ascii="Verdana" w:hAnsi="Verdana"/>
          <w:sz w:val="20"/>
          <w:szCs w:val="20"/>
        </w:rPr>
        <w:t xml:space="preserve"> ha stabilito i criteri sul procedimento e sulla formulazione dei pareri previsti dall’articolo 7, comma 8, della legge n. 131/2003;</w:t>
      </w:r>
    </w:p>
    <w:p w:rsidR="00B91240" w:rsidRDefault="00B91240" w:rsidP="00327E8B">
      <w:pPr>
        <w:ind w:left="851" w:right="851" w:firstLine="360"/>
        <w:rPr>
          <w:rFonts w:ascii="Verdana" w:hAnsi="Verdana"/>
          <w:sz w:val="20"/>
          <w:szCs w:val="20"/>
        </w:rPr>
      </w:pPr>
      <w:r>
        <w:rPr>
          <w:rFonts w:ascii="Verdana" w:hAnsi="Verdana"/>
          <w:sz w:val="20"/>
          <w:szCs w:val="20"/>
        </w:rPr>
        <w:t xml:space="preserve">Vista la nota </w:t>
      </w:r>
      <w:r w:rsidR="00C65857">
        <w:rPr>
          <w:rFonts w:ascii="Verdana" w:hAnsi="Verdana"/>
          <w:sz w:val="20"/>
          <w:szCs w:val="20"/>
        </w:rPr>
        <w:t>pervenuta il 12 aprile 2011</w:t>
      </w:r>
      <w:r>
        <w:rPr>
          <w:rFonts w:ascii="Verdana" w:hAnsi="Verdana"/>
          <w:sz w:val="20"/>
          <w:szCs w:val="20"/>
        </w:rPr>
        <w:t xml:space="preserve"> con la quale il Sindaco del Comune </w:t>
      </w:r>
      <w:r w:rsidR="00C65857">
        <w:rPr>
          <w:rFonts w:ascii="Verdana" w:hAnsi="Verdana"/>
          <w:sz w:val="20"/>
          <w:szCs w:val="20"/>
        </w:rPr>
        <w:t>Lurago d’Erba</w:t>
      </w:r>
      <w:r>
        <w:rPr>
          <w:rFonts w:ascii="Verdana" w:hAnsi="Verdana"/>
          <w:sz w:val="20"/>
          <w:szCs w:val="20"/>
        </w:rPr>
        <w:t xml:space="preserve"> (</w:t>
      </w:r>
      <w:r w:rsidR="00C65857">
        <w:rPr>
          <w:rFonts w:ascii="Verdana" w:hAnsi="Verdana"/>
          <w:sz w:val="20"/>
          <w:szCs w:val="20"/>
        </w:rPr>
        <w:t>CO</w:t>
      </w:r>
      <w:r>
        <w:rPr>
          <w:rFonts w:ascii="Verdana" w:hAnsi="Verdana"/>
          <w:sz w:val="20"/>
          <w:szCs w:val="20"/>
        </w:rPr>
        <w:t>) ha chiesto un parere in materia di contabilità pubblica;</w:t>
      </w:r>
    </w:p>
    <w:p w:rsidR="00B91240" w:rsidRDefault="00B91240" w:rsidP="00327E8B">
      <w:pPr>
        <w:pStyle w:val="Testodelblocco1"/>
        <w:spacing w:line="360" w:lineRule="auto"/>
        <w:ind w:firstLine="360"/>
        <w:rPr>
          <w:rFonts w:ascii="Verdana" w:hAnsi="Verdana"/>
          <w:sz w:val="20"/>
          <w:szCs w:val="20"/>
        </w:rPr>
      </w:pPr>
      <w:r>
        <w:rPr>
          <w:rFonts w:ascii="Verdana" w:hAnsi="Verdana"/>
          <w:sz w:val="20"/>
          <w:szCs w:val="20"/>
        </w:rPr>
        <w:t xml:space="preserve">Vista l’ordinanza con la quale il Presidente ha convocato </w:t>
      </w:r>
      <w:smartTag w:uri="urn:schemas-microsoft-com:office:smarttags" w:element="PersonName">
        <w:smartTagPr>
          <w:attr w:name="ProductID" w:val="la Sezione"/>
        </w:smartTagPr>
        <w:r>
          <w:rPr>
            <w:rFonts w:ascii="Verdana" w:hAnsi="Verdana"/>
            <w:sz w:val="20"/>
            <w:szCs w:val="20"/>
          </w:rPr>
          <w:t>la Sezione</w:t>
        </w:r>
      </w:smartTag>
      <w:r>
        <w:rPr>
          <w:rFonts w:ascii="Verdana" w:hAnsi="Verdana"/>
          <w:sz w:val="20"/>
          <w:szCs w:val="20"/>
        </w:rPr>
        <w:t xml:space="preserve"> per </w:t>
      </w:r>
      <w:r>
        <w:rPr>
          <w:rFonts w:ascii="Verdana" w:hAnsi="Verdana"/>
          <w:sz w:val="20"/>
          <w:szCs w:val="20"/>
        </w:rPr>
        <w:lastRenderedPageBreak/>
        <w:t xml:space="preserve">l’adunanza odierna per deliberare sulla richiesta proveniente dal </w:t>
      </w:r>
      <w:r w:rsidRPr="00E12288">
        <w:rPr>
          <w:rFonts w:ascii="Verdana" w:hAnsi="Verdana"/>
          <w:sz w:val="20"/>
          <w:szCs w:val="20"/>
        </w:rPr>
        <w:t>Sindaco del Comune di</w:t>
      </w:r>
      <w:r w:rsidR="00E12288">
        <w:rPr>
          <w:rFonts w:ascii="Verdana" w:hAnsi="Verdana"/>
          <w:sz w:val="20"/>
          <w:szCs w:val="20"/>
        </w:rPr>
        <w:t xml:space="preserve"> Lurago d’Erba</w:t>
      </w:r>
      <w:r>
        <w:rPr>
          <w:rFonts w:ascii="Verdana" w:hAnsi="Verdana"/>
          <w:sz w:val="20"/>
          <w:szCs w:val="20"/>
        </w:rPr>
        <w:t>;</w:t>
      </w:r>
    </w:p>
    <w:p w:rsidR="00B91240" w:rsidRDefault="00B91240" w:rsidP="00327E8B">
      <w:pPr>
        <w:ind w:left="851" w:right="851" w:firstLine="360"/>
        <w:rPr>
          <w:rFonts w:ascii="Verdana" w:hAnsi="Verdana"/>
          <w:sz w:val="20"/>
          <w:szCs w:val="20"/>
        </w:rPr>
      </w:pPr>
      <w:r>
        <w:rPr>
          <w:rFonts w:ascii="Verdana" w:hAnsi="Verdana"/>
          <w:sz w:val="20"/>
          <w:szCs w:val="20"/>
        </w:rPr>
        <w:t>Udito il relatore, Laura De Rentiis;</w:t>
      </w:r>
    </w:p>
    <w:p w:rsidR="00B91240" w:rsidRDefault="00B91240" w:rsidP="00327E8B">
      <w:pPr>
        <w:pStyle w:val="Titolo2"/>
        <w:ind w:firstLine="360"/>
        <w:rPr>
          <w:szCs w:val="20"/>
        </w:rPr>
      </w:pPr>
      <w:r>
        <w:rPr>
          <w:rFonts w:cs="Verdana"/>
          <w:color w:val="000000"/>
          <w:szCs w:val="20"/>
        </w:rPr>
        <w:t>OGGETTO DEL PARERE</w:t>
      </w:r>
    </w:p>
    <w:p w:rsidR="008D6448" w:rsidRPr="008D6448" w:rsidRDefault="00B91240" w:rsidP="00327E8B">
      <w:pPr>
        <w:ind w:left="851" w:right="851" w:firstLine="360"/>
        <w:rPr>
          <w:rFonts w:ascii="Verdana" w:hAnsi="Verdana"/>
          <w:sz w:val="20"/>
          <w:szCs w:val="20"/>
        </w:rPr>
      </w:pPr>
      <w:r w:rsidRPr="008D6448">
        <w:rPr>
          <w:rFonts w:ascii="Verdana" w:hAnsi="Verdana"/>
          <w:sz w:val="20"/>
          <w:szCs w:val="20"/>
        </w:rPr>
        <w:t xml:space="preserve">Il Sindaco del Comune di </w:t>
      </w:r>
      <w:r w:rsidR="00E12288" w:rsidRPr="008D6448">
        <w:rPr>
          <w:rFonts w:ascii="Verdana" w:hAnsi="Verdana"/>
          <w:sz w:val="20"/>
          <w:szCs w:val="20"/>
        </w:rPr>
        <w:t xml:space="preserve">Lurago d’Erba </w:t>
      </w:r>
      <w:r w:rsidRPr="008D6448">
        <w:rPr>
          <w:rFonts w:ascii="Verdana" w:hAnsi="Verdana"/>
          <w:sz w:val="20"/>
          <w:szCs w:val="20"/>
        </w:rPr>
        <w:t xml:space="preserve">ha posto alla Sezione un quesito </w:t>
      </w:r>
      <w:r w:rsidR="00E12288" w:rsidRPr="008D6448">
        <w:rPr>
          <w:rFonts w:ascii="Verdana" w:hAnsi="Verdana"/>
          <w:sz w:val="20"/>
          <w:szCs w:val="20"/>
        </w:rPr>
        <w:t xml:space="preserve">sulla portata applicativa dell’art. 6, comma 9, D.L. n. 78/10. In particolare, l’ente ha chiesto se alla stregua di detta disposizione normativa sia ancora possibile erogare contributi ad associazioni (nel caso di specie, </w:t>
      </w:r>
      <w:r w:rsidR="008D6448" w:rsidRPr="008D6448">
        <w:rPr>
          <w:rFonts w:ascii="Verdana" w:hAnsi="Verdana"/>
          <w:sz w:val="20"/>
          <w:szCs w:val="20"/>
        </w:rPr>
        <w:t>l’Associazione Volontaria di Pronto Soccorso e Pubblica Assistenza Onlus SOS – per il servizio di trasporto presso strutture sanitarie dei residenti- e l’Associazione Carabinieri per attività di supporto al servizio di vigilanza dell’Ente).</w:t>
      </w:r>
    </w:p>
    <w:p w:rsidR="000930B3" w:rsidRPr="008D6448" w:rsidRDefault="000930B3" w:rsidP="00327E8B">
      <w:pPr>
        <w:ind w:left="851" w:right="851" w:firstLine="360"/>
        <w:rPr>
          <w:rFonts w:ascii="Verdana" w:hAnsi="Verdana"/>
          <w:sz w:val="20"/>
          <w:szCs w:val="20"/>
        </w:rPr>
      </w:pPr>
      <w:r w:rsidRPr="008D6448">
        <w:rPr>
          <w:rFonts w:ascii="Verdana" w:hAnsi="Verdana"/>
          <w:sz w:val="20"/>
          <w:szCs w:val="20"/>
        </w:rPr>
        <w:t xml:space="preserve">Il primo punto da esaminare concerne la verifica in ordine alla circostanza se la richiesta proveniente dal Comune di </w:t>
      </w:r>
      <w:r w:rsidR="008D6448">
        <w:rPr>
          <w:rFonts w:ascii="Verdana" w:hAnsi="Verdana"/>
          <w:sz w:val="20"/>
          <w:szCs w:val="20"/>
        </w:rPr>
        <w:t>Lurago d’Erba</w:t>
      </w:r>
      <w:r w:rsidRPr="008D6448">
        <w:rPr>
          <w:rFonts w:ascii="Verdana" w:hAnsi="Verdana"/>
          <w:sz w:val="20"/>
          <w:szCs w:val="20"/>
        </w:rPr>
        <w:t xml:space="preserve"> rientri nell’ambito delle funzioni attribuite alle Sezioni regionali della Corte dei conti dall’art. 7 comma ottavo, della legge 6 giugno 2003, n. 131, norma in forza della quale Regioni, Province e Comuni possono chiedere a dette Sezioni pareri in materia di contabilità pubblica</w:t>
      </w:r>
      <w:r w:rsidR="00C06944" w:rsidRPr="008D6448">
        <w:rPr>
          <w:rFonts w:ascii="Verdana" w:hAnsi="Verdana"/>
          <w:sz w:val="20"/>
          <w:szCs w:val="20"/>
        </w:rPr>
        <w:t>,</w:t>
      </w:r>
      <w:r w:rsidRPr="008D6448">
        <w:rPr>
          <w:rFonts w:ascii="Verdana" w:hAnsi="Verdana"/>
          <w:sz w:val="20"/>
          <w:szCs w:val="20"/>
        </w:rPr>
        <w:t xml:space="preserve"> nonché ulteriori forme di collaborazione ai fini della</w:t>
      </w:r>
      <w:r w:rsidR="00C06944" w:rsidRPr="008D6448">
        <w:rPr>
          <w:rFonts w:ascii="Verdana" w:hAnsi="Verdana"/>
          <w:sz w:val="20"/>
          <w:szCs w:val="20"/>
        </w:rPr>
        <w:t xml:space="preserve"> regolare gestione finanziaria,</w:t>
      </w:r>
      <w:r w:rsidRPr="008D6448">
        <w:rPr>
          <w:rFonts w:ascii="Verdana" w:hAnsi="Verdana"/>
          <w:sz w:val="20"/>
          <w:szCs w:val="20"/>
        </w:rPr>
        <w:t xml:space="preserve"> dell’efficienza e dell’efficacia dell’azione amministrativa.</w:t>
      </w:r>
    </w:p>
    <w:p w:rsidR="000930B3" w:rsidRDefault="000930B3" w:rsidP="00327E8B">
      <w:pPr>
        <w:ind w:left="851" w:right="851" w:firstLine="360"/>
        <w:rPr>
          <w:rFonts w:ascii="Verdana" w:hAnsi="Verdana"/>
          <w:sz w:val="20"/>
          <w:szCs w:val="20"/>
        </w:rPr>
      </w:pPr>
      <w:r>
        <w:rPr>
          <w:rFonts w:ascii="Verdana" w:hAnsi="Verdana"/>
          <w:sz w:val="20"/>
          <w:szCs w:val="20"/>
        </w:rPr>
        <w:t>In proposito, questa Sezione ha precisato, in più occasioni, che la funzione di cui al comma ottavo dell’art. 7 della legge n. 131/2003 si connota come facoltà conferita agli amministratori di Regioni, Comuni e Province di avvalersi di un organo neutrale e professionalmente qualificato per acquisire elementi necessari ad assicurare la legalità della loro attività amministrativa.</w:t>
      </w:r>
    </w:p>
    <w:p w:rsidR="000930B3" w:rsidRDefault="000930B3" w:rsidP="00327E8B">
      <w:pPr>
        <w:ind w:left="851" w:right="851" w:firstLine="360"/>
        <w:rPr>
          <w:rFonts w:ascii="Verdana" w:hAnsi="Verdana"/>
          <w:sz w:val="20"/>
          <w:szCs w:val="20"/>
        </w:rPr>
      </w:pPr>
      <w:r>
        <w:rPr>
          <w:rFonts w:ascii="Verdana" w:hAnsi="Verdana"/>
          <w:sz w:val="20"/>
          <w:szCs w:val="20"/>
        </w:rPr>
        <w:t xml:space="preserve">I pareri e le altre forme di collaborazione si inseriscono nei procedimenti amministrativi degli enti territoriali consentendo, nelle tematiche in relazione alle quali la collaborazione viene esercitata, scelte adeguate e ponderate nello svolgimento dei poteri che appartengono agli amministratori pubblici, restando peraltro esclusa qualsiasi forma di cogestione o coamministrazione con l’organo di controllo esterno (per tutte: </w:t>
      </w:r>
      <w:r w:rsidR="006A7575">
        <w:rPr>
          <w:rFonts w:ascii="Verdana" w:hAnsi="Verdana"/>
          <w:sz w:val="20"/>
          <w:szCs w:val="20"/>
        </w:rPr>
        <w:t xml:space="preserve">parere sez. Lombardia, </w:t>
      </w:r>
      <w:r>
        <w:rPr>
          <w:rFonts w:ascii="Verdana" w:hAnsi="Verdana"/>
          <w:sz w:val="20"/>
          <w:szCs w:val="20"/>
        </w:rPr>
        <w:t>11 febbraio 2009, n. 36).</w:t>
      </w:r>
    </w:p>
    <w:p w:rsidR="000930B3" w:rsidRPr="000930B3" w:rsidRDefault="000930B3" w:rsidP="00327E8B">
      <w:pPr>
        <w:ind w:left="851" w:right="851" w:firstLine="360"/>
        <w:rPr>
          <w:rFonts w:ascii="Verdana" w:hAnsi="Verdana"/>
          <w:iCs/>
          <w:sz w:val="20"/>
          <w:szCs w:val="20"/>
        </w:rPr>
      </w:pPr>
      <w:r>
        <w:rPr>
          <w:rFonts w:ascii="Verdana" w:hAnsi="Verdana"/>
          <w:sz w:val="20"/>
          <w:szCs w:val="20"/>
        </w:rPr>
        <w:t xml:space="preserve">Infatti, deve essere messo in luce che il parere della Sezione attiene a profili di carattere generale anche se, ovviamente, la richiesta proveniente dall'ente pubblico è motivata, generalmente, dalla necessità di assumere specifiche decisioni in relazione ad una particolare situazione.  L'esame e l'analisi svolta nel parere è limitata ad individuare l'interpretazione di disposizioni di legge e di principi generali dell'ordinamento in relazione alla materia prospettata dal richiedente, spettando, ovviamente, a quest'ultimo la </w:t>
      </w:r>
      <w:r>
        <w:rPr>
          <w:rFonts w:ascii="Verdana" w:hAnsi="Verdana"/>
          <w:sz w:val="20"/>
          <w:szCs w:val="20"/>
        </w:rPr>
        <w:lastRenderedPageBreak/>
        <w:t>decisione in ordine alle modalità applicative in relazione alla situazione che ha originato la domanda.</w:t>
      </w:r>
    </w:p>
    <w:p w:rsidR="00B91240" w:rsidRDefault="00B91240" w:rsidP="00327E8B">
      <w:pPr>
        <w:pStyle w:val="Testodelblocco2"/>
        <w:ind w:left="851" w:right="851" w:firstLine="360"/>
        <w:jc w:val="center"/>
        <w:rPr>
          <w:rFonts w:ascii="Verdana" w:hAnsi="Verdana"/>
          <w:b/>
          <w:bCs/>
          <w:sz w:val="20"/>
          <w:szCs w:val="20"/>
        </w:rPr>
      </w:pPr>
      <w:r>
        <w:rPr>
          <w:rFonts w:ascii="Verdana" w:hAnsi="Verdana"/>
          <w:b/>
          <w:sz w:val="20"/>
          <w:szCs w:val="20"/>
        </w:rPr>
        <w:t>AMMISSIBILITA’ SOGGETTIVA</w:t>
      </w:r>
    </w:p>
    <w:p w:rsidR="00B91240" w:rsidRDefault="00B91240" w:rsidP="00327E8B">
      <w:pPr>
        <w:ind w:left="851" w:right="851" w:firstLine="360"/>
        <w:rPr>
          <w:rFonts w:ascii="Verdana" w:hAnsi="Verdana"/>
          <w:sz w:val="20"/>
          <w:szCs w:val="20"/>
        </w:rPr>
      </w:pPr>
      <w:r>
        <w:rPr>
          <w:rFonts w:ascii="Verdana" w:hAnsi="Verdana" w:cs="Verdana"/>
          <w:color w:val="000000"/>
          <w:sz w:val="20"/>
          <w:szCs w:val="20"/>
        </w:rPr>
        <w:t xml:space="preserve">Sotto il profilo della legittimazione attiva dell’ente che ha richiesto il parere in epigrafe, </w:t>
      </w:r>
      <w:r>
        <w:rPr>
          <w:rFonts w:ascii="Verdana" w:hAnsi="Verdana"/>
          <w:sz w:val="20"/>
          <w:szCs w:val="20"/>
        </w:rPr>
        <w:t>n</w:t>
      </w:r>
      <w:r>
        <w:rPr>
          <w:rFonts w:ascii="Verdana" w:hAnsi="Verdana"/>
          <w:iCs/>
          <w:sz w:val="20"/>
          <w:szCs w:val="20"/>
        </w:rPr>
        <w:t xml:space="preserve">on essendo ancora insediato in Lombardia il Consiglio delle autonomie, previsto dall’art. 123 della Costituzione (come modificato dall’art. </w:t>
      </w:r>
      <w:smartTag w:uri="urn:schemas-microsoft-com:office:smarttags" w:element="metricconverter">
        <w:smartTagPr>
          <w:attr w:name="ProductID" w:val="7 l"/>
        </w:smartTagPr>
        <w:r>
          <w:rPr>
            <w:rFonts w:ascii="Verdana" w:hAnsi="Verdana"/>
            <w:iCs/>
            <w:sz w:val="20"/>
            <w:szCs w:val="20"/>
          </w:rPr>
          <w:t>7 l</w:t>
        </w:r>
      </w:smartTag>
      <w:r>
        <w:rPr>
          <w:rFonts w:ascii="Verdana" w:hAnsi="Verdana"/>
          <w:iCs/>
          <w:sz w:val="20"/>
          <w:szCs w:val="20"/>
        </w:rPr>
        <w:t>. cost. n. 3/2001), i Comuni possono, nel frattempo, chiedere direttamente i pareri alla Sezione regionale</w:t>
      </w:r>
      <w:r>
        <w:rPr>
          <w:rFonts w:ascii="Verdana" w:hAnsi="Verdana"/>
          <w:sz w:val="20"/>
          <w:szCs w:val="20"/>
        </w:rPr>
        <w:t>.</w:t>
      </w:r>
    </w:p>
    <w:p w:rsidR="00B91240" w:rsidRDefault="00B91240" w:rsidP="00327E8B">
      <w:pPr>
        <w:ind w:left="851" w:right="851" w:firstLine="360"/>
        <w:rPr>
          <w:rFonts w:ascii="Verdana" w:hAnsi="Verdana" w:cs="Verdana"/>
          <w:color w:val="000000"/>
          <w:sz w:val="20"/>
          <w:szCs w:val="20"/>
        </w:rPr>
      </w:pPr>
      <w:r>
        <w:rPr>
          <w:rFonts w:ascii="Verdana" w:hAnsi="Verdana"/>
          <w:sz w:val="20"/>
          <w:szCs w:val="20"/>
        </w:rPr>
        <w:t>Pertanto, sotto questo profilo la richiesta può essere presa in esame.</w:t>
      </w:r>
    </w:p>
    <w:p w:rsidR="00B91240" w:rsidRDefault="00B91240" w:rsidP="00327E8B">
      <w:pPr>
        <w:ind w:left="851" w:right="851" w:firstLine="360"/>
        <w:rPr>
          <w:rFonts w:ascii="Verdana" w:hAnsi="Verdana" w:cs="Verdana"/>
          <w:color w:val="000000"/>
          <w:sz w:val="20"/>
          <w:szCs w:val="20"/>
        </w:rPr>
      </w:pPr>
      <w:r>
        <w:rPr>
          <w:rFonts w:ascii="Verdana" w:hAnsi="Verdana" w:cs="Verdana"/>
          <w:color w:val="000000"/>
          <w:sz w:val="20"/>
          <w:szCs w:val="20"/>
        </w:rPr>
        <w:t xml:space="preserve">Con particolare </w:t>
      </w:r>
      <w:r w:rsidRPr="008D6448">
        <w:rPr>
          <w:rFonts w:ascii="Verdana" w:hAnsi="Verdana" w:cs="Verdana"/>
          <w:color w:val="000000"/>
          <w:sz w:val="20"/>
          <w:szCs w:val="20"/>
        </w:rPr>
        <w:t>riguardo all’individuazione dell’organo legittimato ad inoltrare le richieste di parere dell’ente comunale, si osserva che il sindaco del comune è l’organo istituzionalmente legittimato a richiedere il parere in</w:t>
      </w:r>
      <w:r>
        <w:rPr>
          <w:rFonts w:ascii="Verdana" w:hAnsi="Verdana" w:cs="Verdana"/>
          <w:color w:val="000000"/>
          <w:sz w:val="20"/>
          <w:szCs w:val="20"/>
        </w:rPr>
        <w:t xml:space="preserve"> quanto riveste il ruolo di rappresentante dell’ente ai sensi dell’art. 50 T.U.E.L.</w:t>
      </w:r>
    </w:p>
    <w:p w:rsidR="00B91240" w:rsidRDefault="00B91240" w:rsidP="00327E8B">
      <w:pPr>
        <w:pStyle w:val="Testodelblocco2"/>
        <w:ind w:left="851" w:right="851" w:firstLine="360"/>
        <w:rPr>
          <w:rFonts w:ascii="Verdana" w:hAnsi="Verdana"/>
          <w:b/>
          <w:bCs/>
          <w:sz w:val="20"/>
          <w:szCs w:val="20"/>
        </w:rPr>
      </w:pPr>
      <w:r>
        <w:rPr>
          <w:rFonts w:ascii="Verdana" w:hAnsi="Verdana"/>
          <w:sz w:val="20"/>
          <w:szCs w:val="20"/>
        </w:rPr>
        <w:t>Pertanto, la richiesta di parere è ammissibile soggettivamente poiché proviene dall’organo legittimato a proporla.</w:t>
      </w:r>
    </w:p>
    <w:p w:rsidR="00B91240" w:rsidRDefault="00B91240" w:rsidP="00327E8B">
      <w:pPr>
        <w:pStyle w:val="Testodelblocco2"/>
        <w:ind w:left="851" w:right="851" w:firstLine="360"/>
        <w:jc w:val="center"/>
        <w:rPr>
          <w:rFonts w:ascii="Verdana" w:hAnsi="Verdana"/>
          <w:b/>
          <w:sz w:val="20"/>
          <w:szCs w:val="20"/>
        </w:rPr>
      </w:pPr>
      <w:r>
        <w:rPr>
          <w:rFonts w:ascii="Verdana" w:hAnsi="Verdana"/>
          <w:b/>
          <w:sz w:val="20"/>
          <w:szCs w:val="20"/>
        </w:rPr>
        <w:t>AMMISSIBILITA’ OGGETTIVA</w:t>
      </w:r>
    </w:p>
    <w:p w:rsidR="00A832A9" w:rsidRDefault="00A832A9" w:rsidP="00327E8B">
      <w:pPr>
        <w:ind w:left="851" w:right="851"/>
        <w:rPr>
          <w:rFonts w:ascii="Verdana" w:hAnsi="Verdana"/>
          <w:sz w:val="20"/>
          <w:szCs w:val="20"/>
        </w:rPr>
      </w:pPr>
      <w:r>
        <w:rPr>
          <w:rFonts w:ascii="Verdana" w:hAnsi="Verdana"/>
          <w:sz w:val="20"/>
          <w:szCs w:val="20"/>
        </w:rPr>
        <w:t>Con riferimento alla verifica del profilo oggettivo, occorre rilevare che la disposizione</w:t>
      </w:r>
      <w:r w:rsidR="009E02D9">
        <w:rPr>
          <w:rFonts w:ascii="Verdana" w:hAnsi="Verdana"/>
          <w:sz w:val="20"/>
          <w:szCs w:val="20"/>
        </w:rPr>
        <w:t>, contenuta nel comma</w:t>
      </w:r>
      <w:r>
        <w:rPr>
          <w:rFonts w:ascii="Verdana" w:hAnsi="Verdana"/>
          <w:sz w:val="20"/>
          <w:szCs w:val="20"/>
        </w:rPr>
        <w:t xml:space="preserve"> 8, dell’art. 7 della legge 131</w:t>
      </w:r>
      <w:r w:rsidR="009E02D9">
        <w:rPr>
          <w:rFonts w:ascii="Verdana" w:hAnsi="Verdana"/>
          <w:sz w:val="20"/>
          <w:szCs w:val="20"/>
        </w:rPr>
        <w:t>/03,</w:t>
      </w:r>
      <w:r>
        <w:rPr>
          <w:rFonts w:ascii="Verdana" w:hAnsi="Verdana"/>
          <w:sz w:val="20"/>
          <w:szCs w:val="20"/>
        </w:rPr>
        <w:t xml:space="preserve"> deve essere </w:t>
      </w:r>
      <w:r w:rsidR="009E02D9">
        <w:rPr>
          <w:rFonts w:ascii="Verdana" w:hAnsi="Verdana"/>
          <w:sz w:val="20"/>
          <w:szCs w:val="20"/>
        </w:rPr>
        <w:t>raccordata con il precedente comma</w:t>
      </w:r>
      <w:r>
        <w:rPr>
          <w:rFonts w:ascii="Verdana" w:hAnsi="Verdana"/>
          <w:sz w:val="20"/>
          <w:szCs w:val="20"/>
        </w:rPr>
        <w:t xml:space="preserve"> 7, norma che attribuisce alla Corte dei conti la funzione di verificare il rispetto degli equilibri di bilancio, il perseguimento degli obiettivi posti da leggi statali e regionali di principio e di programma, la sana gestione finanziaria degli enti locali.</w:t>
      </w:r>
    </w:p>
    <w:p w:rsidR="00A832A9" w:rsidRDefault="00A832A9" w:rsidP="00327E8B">
      <w:pPr>
        <w:ind w:left="851" w:right="851"/>
        <w:rPr>
          <w:rFonts w:ascii="Verdana" w:hAnsi="Verdana"/>
          <w:sz w:val="20"/>
          <w:szCs w:val="20"/>
        </w:rPr>
      </w:pPr>
      <w:r>
        <w:rPr>
          <w:rFonts w:ascii="Verdana" w:hAnsi="Verdana"/>
          <w:sz w:val="20"/>
          <w:szCs w:val="20"/>
        </w:rPr>
        <w:t>Lo svolgimento delle funzioni è qualificato dallo stesso legislatore come una forma di controllo collaborativo.</w:t>
      </w:r>
    </w:p>
    <w:p w:rsidR="00A832A9" w:rsidRDefault="00A832A9" w:rsidP="00327E8B">
      <w:pPr>
        <w:ind w:left="851" w:right="851"/>
        <w:rPr>
          <w:rFonts w:ascii="Verdana" w:hAnsi="Verdana"/>
          <w:sz w:val="20"/>
          <w:szCs w:val="20"/>
        </w:rPr>
      </w:pPr>
      <w:r>
        <w:rPr>
          <w:rFonts w:ascii="Verdana" w:hAnsi="Verdana"/>
          <w:sz w:val="20"/>
          <w:szCs w:val="20"/>
        </w:rPr>
        <w:t>Il raccordo tra le due disposizioni opera nel senso che il co. 8 prevede forme di collaborazione ulteriore rispetto a quelle del precedente comma rese esplicite</w:t>
      </w:r>
      <w:r w:rsidR="003D207C">
        <w:rPr>
          <w:rFonts w:ascii="Verdana" w:hAnsi="Verdana"/>
          <w:sz w:val="20"/>
          <w:szCs w:val="20"/>
        </w:rPr>
        <w:t>,</w:t>
      </w:r>
      <w:r>
        <w:rPr>
          <w:rFonts w:ascii="Verdana" w:hAnsi="Verdana"/>
          <w:sz w:val="20"/>
          <w:szCs w:val="20"/>
        </w:rPr>
        <w:t xml:space="preserve"> in particolare</w:t>
      </w:r>
      <w:r w:rsidR="003D207C">
        <w:rPr>
          <w:rFonts w:ascii="Verdana" w:hAnsi="Verdana"/>
          <w:sz w:val="20"/>
          <w:szCs w:val="20"/>
        </w:rPr>
        <w:t>,</w:t>
      </w:r>
      <w:r>
        <w:rPr>
          <w:rFonts w:ascii="Verdana" w:hAnsi="Verdana"/>
          <w:sz w:val="20"/>
          <w:szCs w:val="20"/>
        </w:rPr>
        <w:t xml:space="preserve"> con l’attribuzione agli enti della facoltà di chiedere pareri in materia di contabilità pubblica.</w:t>
      </w:r>
    </w:p>
    <w:p w:rsidR="00A832A9" w:rsidRDefault="00A832A9" w:rsidP="00327E8B">
      <w:pPr>
        <w:ind w:left="851" w:right="851"/>
        <w:rPr>
          <w:rFonts w:ascii="Verdana" w:hAnsi="Verdana"/>
          <w:sz w:val="20"/>
          <w:szCs w:val="20"/>
        </w:rPr>
      </w:pPr>
      <w:r>
        <w:rPr>
          <w:rFonts w:ascii="Verdana" w:hAnsi="Verdana"/>
          <w:sz w:val="20"/>
          <w:szCs w:val="20"/>
        </w:rPr>
        <w:t>Appare conseguentemente chiaro che le Sezioni regionali della Corte dei conti non svolgono una funzione consultiva a carattere generale in favore degli enti locali ma che</w:t>
      </w:r>
      <w:r w:rsidR="003D207C">
        <w:rPr>
          <w:rFonts w:ascii="Verdana" w:hAnsi="Verdana"/>
          <w:sz w:val="20"/>
          <w:szCs w:val="20"/>
        </w:rPr>
        <w:t>,</w:t>
      </w:r>
      <w:r>
        <w:rPr>
          <w:rFonts w:ascii="Verdana" w:hAnsi="Verdana"/>
          <w:sz w:val="20"/>
          <w:szCs w:val="20"/>
        </w:rPr>
        <w:t xml:space="preserve"> anzi</w:t>
      </w:r>
      <w:r w:rsidR="003D207C">
        <w:rPr>
          <w:rFonts w:ascii="Verdana" w:hAnsi="Verdana"/>
          <w:sz w:val="20"/>
          <w:szCs w:val="20"/>
        </w:rPr>
        <w:t>,</w:t>
      </w:r>
      <w:r>
        <w:rPr>
          <w:rFonts w:ascii="Verdana" w:hAnsi="Verdana"/>
          <w:sz w:val="20"/>
          <w:szCs w:val="20"/>
        </w:rPr>
        <w:t xml:space="preserve"> le attribuzioni consultive si connotano sulle funzioni sostanziali di controllo collaborativo ad esse conferite dalla legislazione positiva. </w:t>
      </w:r>
    </w:p>
    <w:p w:rsidR="00A832A9" w:rsidRDefault="00A832A9" w:rsidP="00327E8B">
      <w:pPr>
        <w:ind w:left="851" w:right="851"/>
        <w:rPr>
          <w:rFonts w:ascii="Verdana" w:hAnsi="Verdana"/>
          <w:sz w:val="20"/>
          <w:szCs w:val="20"/>
        </w:rPr>
      </w:pPr>
      <w:r>
        <w:rPr>
          <w:rFonts w:ascii="Verdana" w:hAnsi="Verdana"/>
          <w:sz w:val="20"/>
          <w:szCs w:val="20"/>
        </w:rPr>
        <w:t xml:space="preserve">Al riguardo, le Sezioni riunite della Corte dei conti, intervenendo con una pronuncia in sede di coordinamento della finanza pubblica ai sensi dell’art. 17, co. 31 del decreto-legge 1° luglio 2009, n. 78, convertito, con modificazioni, dalla legge </w:t>
      </w:r>
      <w:smartTag w:uri="urn:schemas-microsoft-com:office:smarttags" w:element="date">
        <w:smartTagPr>
          <w:attr w:name="ls" w:val="trans"/>
          <w:attr w:name="Month" w:val="8"/>
          <w:attr w:name="Day" w:val="3"/>
          <w:attr w:name="Year" w:val="2009"/>
        </w:smartTagPr>
        <w:r>
          <w:rPr>
            <w:rFonts w:ascii="Verdana" w:hAnsi="Verdana"/>
            <w:sz w:val="20"/>
            <w:szCs w:val="20"/>
          </w:rPr>
          <w:t>3 agosto 2009</w:t>
        </w:r>
      </w:smartTag>
      <w:r>
        <w:rPr>
          <w:rFonts w:ascii="Verdana" w:hAnsi="Verdana"/>
          <w:sz w:val="20"/>
          <w:szCs w:val="20"/>
        </w:rPr>
        <w:t>, n. 102, hanno delineato una nozione unitaria della nozione di contabilità pubblica incentrata sul “</w:t>
      </w:r>
      <w:r w:rsidRPr="00C96D90">
        <w:rPr>
          <w:rFonts w:ascii="Verdana" w:hAnsi="Verdana"/>
          <w:i/>
          <w:sz w:val="20"/>
          <w:szCs w:val="20"/>
        </w:rPr>
        <w:t xml:space="preserve">sistema di principi e di norme che regolano l’attività finanziaria e patrimoniale dello Stato e degli </w:t>
      </w:r>
      <w:r w:rsidRPr="00C96D90">
        <w:rPr>
          <w:rFonts w:ascii="Verdana" w:hAnsi="Verdana"/>
          <w:i/>
          <w:sz w:val="20"/>
          <w:szCs w:val="20"/>
        </w:rPr>
        <w:lastRenderedPageBreak/>
        <w:t>enti pubblici</w:t>
      </w:r>
      <w:r>
        <w:rPr>
          <w:rFonts w:ascii="Verdana" w:hAnsi="Verdana"/>
          <w:sz w:val="20"/>
          <w:szCs w:val="20"/>
        </w:rPr>
        <w:t>”, d</w:t>
      </w:r>
      <w:r w:rsidR="00327E8B">
        <w:rPr>
          <w:rFonts w:ascii="Verdana" w:hAnsi="Verdana"/>
          <w:sz w:val="20"/>
          <w:szCs w:val="20"/>
        </w:rPr>
        <w:t xml:space="preserve">a intendersi in senso dinamico </w:t>
      </w:r>
      <w:r>
        <w:rPr>
          <w:rFonts w:ascii="Verdana" w:hAnsi="Verdana"/>
          <w:sz w:val="20"/>
          <w:szCs w:val="20"/>
        </w:rPr>
        <w:t xml:space="preserve">anche in relazione alle materie che incidono sulla gestione del bilancio e sui suoi equilibri (Delibera n. </w:t>
      </w:r>
      <w:smartTag w:uri="urn:schemas-microsoft-com:office:smarttags" w:element="metricconverter">
        <w:smartTagPr>
          <w:attr w:name="ProductID" w:val="54, in"/>
        </w:smartTagPr>
        <w:r>
          <w:rPr>
            <w:rFonts w:ascii="Verdana" w:hAnsi="Verdana"/>
            <w:sz w:val="20"/>
            <w:szCs w:val="20"/>
          </w:rPr>
          <w:t>54, in</w:t>
        </w:r>
      </w:smartTag>
      <w:r>
        <w:rPr>
          <w:rFonts w:ascii="Verdana" w:hAnsi="Verdana"/>
          <w:sz w:val="20"/>
          <w:szCs w:val="20"/>
        </w:rPr>
        <w:t xml:space="preserve"> data 17 novembre 2010</w:t>
      </w:r>
      <w:r w:rsidR="00327E8B">
        <w:rPr>
          <w:rFonts w:ascii="Verdana" w:hAnsi="Verdana"/>
          <w:sz w:val="20"/>
          <w:szCs w:val="20"/>
        </w:rPr>
        <w:t>).</w:t>
      </w:r>
    </w:p>
    <w:p w:rsidR="00A832A9" w:rsidRDefault="00A832A9" w:rsidP="00327E8B">
      <w:pPr>
        <w:ind w:left="851" w:right="851"/>
        <w:rPr>
          <w:rFonts w:ascii="Verdana" w:hAnsi="Verdana"/>
          <w:sz w:val="20"/>
          <w:szCs w:val="20"/>
        </w:rPr>
      </w:pPr>
      <w:r>
        <w:rPr>
          <w:rFonts w:ascii="Verdana" w:hAnsi="Verdana"/>
          <w:sz w:val="20"/>
          <w:szCs w:val="20"/>
        </w:rPr>
        <w:t>Il limite della funzione consultiva</w:t>
      </w:r>
      <w:r w:rsidR="003D207C">
        <w:rPr>
          <w:rFonts w:ascii="Verdana" w:hAnsi="Verdana"/>
          <w:sz w:val="20"/>
          <w:szCs w:val="20"/>
        </w:rPr>
        <w:t>,</w:t>
      </w:r>
      <w:r>
        <w:rPr>
          <w:rFonts w:ascii="Verdana" w:hAnsi="Verdana"/>
          <w:sz w:val="20"/>
          <w:szCs w:val="20"/>
        </w:rPr>
        <w:t xml:space="preserve"> come sopra delineato</w:t>
      </w:r>
      <w:r w:rsidR="003D207C">
        <w:rPr>
          <w:rFonts w:ascii="Verdana" w:hAnsi="Verdana"/>
          <w:sz w:val="20"/>
          <w:szCs w:val="20"/>
        </w:rPr>
        <w:t>,</w:t>
      </w:r>
      <w:r>
        <w:rPr>
          <w:rFonts w:ascii="Verdana" w:hAnsi="Verdana"/>
          <w:sz w:val="20"/>
          <w:szCs w:val="20"/>
        </w:rPr>
        <w:t xml:space="preserve"> esclude qualsiasi possibilità di intervento della Corte dei conti nella concreta attività gestionale ed amministrativa che ricade nella esclusiva competenza dell’autorità che la svolge</w:t>
      </w:r>
      <w:r w:rsidR="003D207C">
        <w:rPr>
          <w:rFonts w:ascii="Verdana" w:hAnsi="Verdana"/>
          <w:sz w:val="20"/>
          <w:szCs w:val="20"/>
        </w:rPr>
        <w:t>;</w:t>
      </w:r>
      <w:r>
        <w:rPr>
          <w:rFonts w:ascii="Verdana" w:hAnsi="Verdana"/>
          <w:sz w:val="20"/>
          <w:szCs w:val="20"/>
        </w:rPr>
        <w:t xml:space="preserve"> </w:t>
      </w:r>
      <w:r w:rsidR="003D207C">
        <w:rPr>
          <w:rFonts w:ascii="Verdana" w:hAnsi="Verdana"/>
          <w:sz w:val="20"/>
          <w:szCs w:val="20"/>
        </w:rPr>
        <w:t xml:space="preserve">nonché esclude, altresì, </w:t>
      </w:r>
      <w:r>
        <w:rPr>
          <w:rFonts w:ascii="Verdana" w:hAnsi="Verdana"/>
          <w:sz w:val="20"/>
          <w:szCs w:val="20"/>
        </w:rPr>
        <w:t>che la funzione consultiva possa interferire</w:t>
      </w:r>
      <w:r w:rsidR="003D207C">
        <w:rPr>
          <w:rFonts w:ascii="Verdana" w:hAnsi="Verdana"/>
          <w:sz w:val="20"/>
          <w:szCs w:val="20"/>
        </w:rPr>
        <w:t xml:space="preserve"> in concreto con competenze di </w:t>
      </w:r>
      <w:r>
        <w:rPr>
          <w:rFonts w:ascii="Verdana" w:hAnsi="Verdana"/>
          <w:sz w:val="20"/>
          <w:szCs w:val="20"/>
        </w:rPr>
        <w:t>a</w:t>
      </w:r>
      <w:r w:rsidR="003D207C">
        <w:rPr>
          <w:rFonts w:ascii="Verdana" w:hAnsi="Verdana"/>
          <w:sz w:val="20"/>
          <w:szCs w:val="20"/>
        </w:rPr>
        <w:t>l</w:t>
      </w:r>
      <w:r>
        <w:rPr>
          <w:rFonts w:ascii="Verdana" w:hAnsi="Verdana"/>
          <w:sz w:val="20"/>
          <w:szCs w:val="20"/>
        </w:rPr>
        <w:t>tri organi giurisdizionali.</w:t>
      </w:r>
    </w:p>
    <w:p w:rsidR="00F97B9E" w:rsidRDefault="00F97B9E" w:rsidP="00327E8B">
      <w:pPr>
        <w:ind w:left="851" w:right="851"/>
        <w:rPr>
          <w:rFonts w:ascii="Verdana" w:hAnsi="Verdana"/>
          <w:sz w:val="20"/>
          <w:szCs w:val="20"/>
        </w:rPr>
      </w:pPr>
      <w:r>
        <w:rPr>
          <w:rFonts w:ascii="Verdana" w:hAnsi="Verdana"/>
          <w:sz w:val="20"/>
          <w:szCs w:val="20"/>
        </w:rPr>
        <w:t xml:space="preserve">Dalle sopraesposte considerazioni consegue che la nozione di contabilità pubblica va conformandosi all’evolversi dell’ordinamento, seguendo anche i nuovi principi di organizzazione dell’amministrazione, con effetti differenziati, per quanto riguarda le funzioni della Corte dei conti, secondo l’ambito di attività. </w:t>
      </w:r>
    </w:p>
    <w:p w:rsidR="00F97B9E" w:rsidRDefault="00F97B9E" w:rsidP="00327E8B">
      <w:pPr>
        <w:ind w:left="851" w:right="851"/>
        <w:rPr>
          <w:rFonts w:ascii="Verdana" w:hAnsi="Verdana"/>
          <w:sz w:val="20"/>
          <w:szCs w:val="20"/>
        </w:rPr>
      </w:pPr>
      <w:r>
        <w:rPr>
          <w:rFonts w:ascii="Verdana" w:hAnsi="Verdana"/>
          <w:sz w:val="20"/>
          <w:szCs w:val="20"/>
        </w:rPr>
        <w:t xml:space="preserve">La richiesta di parere in esame risponde ai requisiti indicati sopra e, pertanto, è da ritenere ammissibile e pertanto può essere esaminata nel merito. </w:t>
      </w:r>
    </w:p>
    <w:p w:rsidR="00F97B9E" w:rsidRDefault="00F97B9E" w:rsidP="00327E8B">
      <w:pPr>
        <w:ind w:left="851" w:right="851"/>
        <w:rPr>
          <w:rFonts w:ascii="Verdana" w:hAnsi="Verdana"/>
          <w:sz w:val="20"/>
          <w:szCs w:val="20"/>
        </w:rPr>
      </w:pPr>
      <w:r>
        <w:rPr>
          <w:rFonts w:ascii="Verdana" w:hAnsi="Verdana"/>
          <w:sz w:val="20"/>
          <w:szCs w:val="20"/>
        </w:rPr>
        <w:t>Il quesito, infatti, attiene all’interpretazione di una disposizione di finanza pubblica che il legislatore ha dettato con la specifica finalità di contenere e di meglio indirizzare la spesa pubblica, anche in relazione alle crescenti e persistenti esigenze di contenimento e razionalizzazione della stessa.</w:t>
      </w:r>
    </w:p>
    <w:p w:rsidR="00A832A9" w:rsidRDefault="00A832A9" w:rsidP="00327E8B">
      <w:pPr>
        <w:ind w:left="851" w:right="851"/>
        <w:rPr>
          <w:rFonts w:ascii="Verdana" w:hAnsi="Verdana"/>
          <w:sz w:val="20"/>
          <w:szCs w:val="20"/>
        </w:rPr>
      </w:pPr>
      <w:r>
        <w:rPr>
          <w:rFonts w:ascii="Verdana" w:hAnsi="Verdana"/>
          <w:sz w:val="20"/>
          <w:szCs w:val="20"/>
        </w:rPr>
        <w:t>La richiesta di parere in esame rispon</w:t>
      </w:r>
      <w:r w:rsidR="008B0F08">
        <w:rPr>
          <w:rFonts w:ascii="Verdana" w:hAnsi="Verdana"/>
          <w:sz w:val="20"/>
          <w:szCs w:val="20"/>
        </w:rPr>
        <w:t>de ai requisiti indicati sopra,</w:t>
      </w:r>
      <w:r>
        <w:rPr>
          <w:rFonts w:ascii="Verdana" w:hAnsi="Verdana"/>
          <w:sz w:val="20"/>
          <w:szCs w:val="20"/>
        </w:rPr>
        <w:t xml:space="preserve"> pertanto è da ritenere ammissibile e può essere esaminata nel merito. </w:t>
      </w:r>
    </w:p>
    <w:p w:rsidR="00B91240" w:rsidRDefault="00B91240" w:rsidP="00327E8B">
      <w:pPr>
        <w:pStyle w:val="NormaleVerdana"/>
        <w:spacing w:line="360" w:lineRule="auto"/>
        <w:ind w:firstLine="360"/>
        <w:jc w:val="center"/>
        <w:rPr>
          <w:rFonts w:ascii="Verdana" w:hAnsi="Verdana"/>
          <w:b/>
          <w:sz w:val="20"/>
          <w:szCs w:val="20"/>
        </w:rPr>
      </w:pPr>
      <w:r>
        <w:rPr>
          <w:rFonts w:ascii="Verdana" w:hAnsi="Verdana"/>
          <w:b/>
          <w:sz w:val="20"/>
          <w:szCs w:val="20"/>
        </w:rPr>
        <w:t>MERITO</w:t>
      </w:r>
    </w:p>
    <w:p w:rsidR="008B0F08" w:rsidRDefault="008B0F08" w:rsidP="00327E8B">
      <w:pPr>
        <w:ind w:left="851" w:right="851" w:firstLine="360"/>
        <w:rPr>
          <w:rFonts w:ascii="Verdana" w:hAnsi="Verdana"/>
          <w:sz w:val="20"/>
          <w:szCs w:val="20"/>
        </w:rPr>
      </w:pPr>
      <w:r>
        <w:rPr>
          <w:rFonts w:ascii="Verdana" w:hAnsi="Verdana"/>
          <w:sz w:val="20"/>
          <w:szCs w:val="20"/>
        </w:rPr>
        <w:t xml:space="preserve">In via preliminare </w:t>
      </w:r>
      <w:smartTag w:uri="urn:schemas-microsoft-com:office:smarttags" w:element="PersonName">
        <w:smartTagPr>
          <w:attr w:name="ProductID" w:val="la Sezione"/>
        </w:smartTagPr>
        <w:r>
          <w:rPr>
            <w:rFonts w:ascii="Verdana" w:hAnsi="Verdana"/>
            <w:sz w:val="20"/>
            <w:szCs w:val="20"/>
          </w:rPr>
          <w:t>la Sezione</w:t>
        </w:r>
      </w:smartTag>
      <w:r>
        <w:rPr>
          <w:rFonts w:ascii="Verdana" w:hAnsi="Verdana"/>
          <w:sz w:val="20"/>
          <w:szCs w:val="20"/>
        </w:rPr>
        <w:t xml:space="preserve"> precisa che la decisione in ordine all’applicazione in concreto della disposizione richiamata dal Sindaco di </w:t>
      </w:r>
      <w:r w:rsidRPr="008D6448">
        <w:rPr>
          <w:rFonts w:ascii="Verdana" w:hAnsi="Verdana"/>
          <w:sz w:val="20"/>
          <w:szCs w:val="20"/>
        </w:rPr>
        <w:t xml:space="preserve">Lurago d’Erba </w:t>
      </w:r>
      <w:r>
        <w:rPr>
          <w:rFonts w:ascii="Verdana" w:hAnsi="Verdana"/>
          <w:sz w:val="20"/>
          <w:szCs w:val="20"/>
        </w:rPr>
        <w:t>è di esclusiva competenza dell’ente locale poiché attiene al merito dell’azione amministrativa e rientra nella piena ed esclusiva discrezionalità e responsabilità dell’ente che, ovviamente, potrà orientare la sua decisione in base alle conclusioni contenute nel parere della Sezione.</w:t>
      </w:r>
    </w:p>
    <w:p w:rsidR="008B0F08" w:rsidRPr="008D6448" w:rsidRDefault="008B0F08" w:rsidP="00327E8B">
      <w:pPr>
        <w:tabs>
          <w:tab w:val="left" w:pos="540"/>
        </w:tabs>
        <w:ind w:left="851" w:right="851" w:firstLine="360"/>
        <w:rPr>
          <w:rFonts w:ascii="Verdana" w:hAnsi="Verdana"/>
          <w:sz w:val="20"/>
          <w:szCs w:val="20"/>
        </w:rPr>
      </w:pPr>
      <w:r>
        <w:rPr>
          <w:rFonts w:ascii="Verdana" w:hAnsi="Verdana"/>
          <w:sz w:val="20"/>
          <w:szCs w:val="20"/>
        </w:rPr>
        <w:t xml:space="preserve">La richiesta di parere ha ad oggetto </w:t>
      </w:r>
      <w:r w:rsidRPr="008D6448">
        <w:rPr>
          <w:rFonts w:ascii="Verdana" w:hAnsi="Verdana"/>
          <w:sz w:val="20"/>
          <w:szCs w:val="20"/>
        </w:rPr>
        <w:t>la portata applicativa dell’art. 6, comma 9, D.L. n. 78/10. In particolare,</w:t>
      </w:r>
      <w:r>
        <w:rPr>
          <w:rFonts w:ascii="Verdana" w:hAnsi="Verdana"/>
          <w:sz w:val="20"/>
          <w:szCs w:val="20"/>
        </w:rPr>
        <w:t xml:space="preserve"> l’ente comunale </w:t>
      </w:r>
      <w:r w:rsidRPr="008D6448">
        <w:rPr>
          <w:rFonts w:ascii="Verdana" w:hAnsi="Verdana"/>
          <w:sz w:val="20"/>
          <w:szCs w:val="20"/>
        </w:rPr>
        <w:t>ha chiesto se alla stregua di detta disposizione normativa sia ancora possibile erogare contributi ad associazioni (nel caso di specie, l’Associazione Volontaria di Pronto Soccorso e Pubblica Assistenza Onlus SOS – per il servizio di trasporto presso strutture sanitarie dei residenti- e l’Associazione Carabinieri per attività di supporto al servizio di vigilanza dell’Ente).</w:t>
      </w:r>
    </w:p>
    <w:p w:rsidR="008B0F08" w:rsidRDefault="008B0F08" w:rsidP="00327E8B">
      <w:pPr>
        <w:tabs>
          <w:tab w:val="left" w:pos="540"/>
        </w:tabs>
        <w:ind w:left="851" w:right="851" w:firstLine="360"/>
        <w:rPr>
          <w:rFonts w:ascii="Verdana" w:hAnsi="Verdana"/>
          <w:sz w:val="20"/>
          <w:szCs w:val="20"/>
        </w:rPr>
      </w:pPr>
      <w:r>
        <w:rPr>
          <w:rFonts w:ascii="Verdana" w:hAnsi="Verdana"/>
          <w:sz w:val="20"/>
          <w:szCs w:val="20"/>
        </w:rPr>
        <w:t xml:space="preserve">Nell’ambito della manovra finanziaria varata ed approvata nell’estate del 2010 (d.l. 31 maggio 2010, conv. con modificazioni dalla legge 30 luglio </w:t>
      </w:r>
      <w:r>
        <w:rPr>
          <w:rFonts w:ascii="Verdana" w:hAnsi="Verdana"/>
          <w:sz w:val="20"/>
          <w:szCs w:val="20"/>
        </w:rPr>
        <w:lastRenderedPageBreak/>
        <w:t xml:space="preserve">2010, n. 122), il legislatore ha dettato numerose norme dirette a contenere e razionalizzare la spesa pubblica, sia dello Stato </w:t>
      </w:r>
      <w:r w:rsidR="00B05B1C">
        <w:rPr>
          <w:rFonts w:ascii="Verdana" w:hAnsi="Verdana"/>
          <w:sz w:val="20"/>
          <w:szCs w:val="20"/>
        </w:rPr>
        <w:t>sia degli enti locali (in questo secondo caso</w:t>
      </w:r>
      <w:r>
        <w:rPr>
          <w:rFonts w:ascii="Verdana" w:hAnsi="Verdana"/>
          <w:sz w:val="20"/>
          <w:szCs w:val="20"/>
        </w:rPr>
        <w:t>, con alcune limitazioni conseguenti alla modifica del Titolo V, parte Seconda della Costituzione operata</w:t>
      </w:r>
      <w:r w:rsidR="00B05B1C">
        <w:rPr>
          <w:rFonts w:ascii="Verdana" w:hAnsi="Verdana"/>
          <w:sz w:val="20"/>
          <w:szCs w:val="20"/>
        </w:rPr>
        <w:t xml:space="preserve"> nel 2001)</w:t>
      </w:r>
      <w:r>
        <w:rPr>
          <w:rFonts w:ascii="Verdana" w:hAnsi="Verdana"/>
          <w:sz w:val="20"/>
          <w:szCs w:val="20"/>
        </w:rPr>
        <w:t>.</w:t>
      </w:r>
    </w:p>
    <w:p w:rsidR="008B0F08" w:rsidRDefault="008B0F08" w:rsidP="00327E8B">
      <w:pPr>
        <w:tabs>
          <w:tab w:val="left" w:pos="540"/>
        </w:tabs>
        <w:ind w:left="851" w:right="851" w:firstLine="360"/>
        <w:rPr>
          <w:rFonts w:ascii="Verdana" w:hAnsi="Verdana"/>
          <w:sz w:val="20"/>
          <w:szCs w:val="20"/>
        </w:rPr>
      </w:pPr>
      <w:r>
        <w:rPr>
          <w:rFonts w:ascii="Verdana" w:hAnsi="Verdana"/>
          <w:sz w:val="20"/>
          <w:szCs w:val="20"/>
        </w:rPr>
        <w:t>In quest’ottica l’articolo 6, sotto la rubrica “</w:t>
      </w:r>
      <w:r>
        <w:rPr>
          <w:rFonts w:ascii="Verdana" w:hAnsi="Verdana"/>
          <w:i/>
          <w:sz w:val="20"/>
          <w:szCs w:val="20"/>
        </w:rPr>
        <w:t>Riduzione dei costi degli apparati amministrativi”</w:t>
      </w:r>
      <w:r>
        <w:rPr>
          <w:rFonts w:ascii="Verdana" w:hAnsi="Verdana"/>
          <w:sz w:val="20"/>
          <w:szCs w:val="20"/>
        </w:rPr>
        <w:t>, contiene 27 commi che dettano alcune regole di contenimento dei costi che, a seconda della disposizione, sono applicabili da tutte o solamente da alcune amministrazioni pubbliche.</w:t>
      </w:r>
    </w:p>
    <w:p w:rsidR="008B0F08" w:rsidRDefault="008B0F08" w:rsidP="00327E8B">
      <w:pPr>
        <w:ind w:left="851" w:right="851" w:firstLine="360"/>
        <w:rPr>
          <w:rFonts w:ascii="Verdana" w:hAnsi="Verdana"/>
          <w:sz w:val="20"/>
          <w:szCs w:val="20"/>
        </w:rPr>
      </w:pPr>
      <w:r>
        <w:rPr>
          <w:rFonts w:ascii="Verdana" w:hAnsi="Verdana"/>
          <w:sz w:val="20"/>
          <w:szCs w:val="20"/>
        </w:rPr>
        <w:t xml:space="preserve">Escludendo ogni valutazione in ordine alla compatibilità con l’attuale ordinamento costituzionale di obblighi di limitazione di specifiche spese posti dal legislatore nazionale a carico delle Regioni e degli enti locali, che non compete alla magistratura contabile in sede consultiva, </w:t>
      </w:r>
      <w:r w:rsidR="00B05B1C">
        <w:rPr>
          <w:rFonts w:ascii="Verdana" w:hAnsi="Verdana"/>
          <w:sz w:val="20"/>
          <w:szCs w:val="20"/>
        </w:rPr>
        <w:t xml:space="preserve">si ricorda che </w:t>
      </w:r>
      <w:smartTag w:uri="urn:schemas-microsoft-com:office:smarttags" w:element="PersonName">
        <w:smartTagPr>
          <w:attr w:name="ProductID" w:val="la Sezione"/>
        </w:smartTagPr>
        <w:r>
          <w:rPr>
            <w:rFonts w:ascii="Verdana" w:hAnsi="Verdana"/>
            <w:sz w:val="20"/>
            <w:szCs w:val="20"/>
          </w:rPr>
          <w:t>la Sezione</w:t>
        </w:r>
      </w:smartTag>
      <w:r>
        <w:rPr>
          <w:rFonts w:ascii="Verdana" w:hAnsi="Verdana"/>
          <w:sz w:val="20"/>
          <w:szCs w:val="20"/>
        </w:rPr>
        <w:t xml:space="preserve"> ha reso già alcuni pareri in relazione all’interpretazione delle disposizioni contenute nel decreto legge n. 78, conv. dalla legge n. 122 del 2010 (in particolare,</w:t>
      </w:r>
      <w:r w:rsidR="004D4F14">
        <w:rPr>
          <w:rFonts w:ascii="Verdana" w:hAnsi="Verdana"/>
          <w:sz w:val="20"/>
          <w:szCs w:val="20"/>
        </w:rPr>
        <w:t xml:space="preserve"> </w:t>
      </w:r>
      <w:r w:rsidR="004D4F14" w:rsidRPr="004D4F14">
        <w:rPr>
          <w:rFonts w:ascii="Verdana" w:hAnsi="Verdana"/>
          <w:i/>
          <w:sz w:val="20"/>
          <w:szCs w:val="20"/>
        </w:rPr>
        <w:t xml:space="preserve">ex </w:t>
      </w:r>
      <w:r w:rsidR="004023C2">
        <w:rPr>
          <w:rFonts w:ascii="Verdana" w:hAnsi="Verdana"/>
          <w:i/>
          <w:sz w:val="20"/>
          <w:szCs w:val="20"/>
        </w:rPr>
        <w:t>multis</w:t>
      </w:r>
      <w:r w:rsidR="004D4F14">
        <w:rPr>
          <w:rFonts w:ascii="Verdana" w:hAnsi="Verdana"/>
          <w:sz w:val="20"/>
          <w:szCs w:val="20"/>
        </w:rPr>
        <w:t xml:space="preserve"> si ricordano</w:t>
      </w:r>
      <w:r>
        <w:rPr>
          <w:rFonts w:ascii="Verdana" w:hAnsi="Verdana"/>
          <w:sz w:val="20"/>
          <w:szCs w:val="20"/>
        </w:rPr>
        <w:t xml:space="preserve"> Lombardia/1076/2011/PAR del 23 dicembre 2010</w:t>
      </w:r>
      <w:r w:rsidR="00A439F6">
        <w:rPr>
          <w:rFonts w:ascii="Verdana" w:hAnsi="Verdana"/>
          <w:sz w:val="20"/>
          <w:szCs w:val="20"/>
        </w:rPr>
        <w:t>,</w:t>
      </w:r>
      <w:r w:rsidR="004D4F14">
        <w:rPr>
          <w:rFonts w:ascii="Verdana" w:hAnsi="Verdana"/>
          <w:sz w:val="20"/>
          <w:szCs w:val="20"/>
        </w:rPr>
        <w:t xml:space="preserve"> L</w:t>
      </w:r>
      <w:r w:rsidR="004D4F14">
        <w:rPr>
          <w:rFonts w:ascii="Verdana" w:hAnsi="Verdana"/>
          <w:sz w:val="20"/>
        </w:rPr>
        <w:t>ombardia/116/2011/PAR</w:t>
      </w:r>
      <w:r w:rsidR="004D4F14">
        <w:rPr>
          <w:rFonts w:ascii="Verdana" w:hAnsi="Verdana"/>
          <w:sz w:val="20"/>
          <w:szCs w:val="20"/>
        </w:rPr>
        <w:t xml:space="preserve"> del 3 marzo 2011</w:t>
      </w:r>
      <w:r w:rsidR="00A439F6">
        <w:rPr>
          <w:rFonts w:ascii="Verdana" w:hAnsi="Verdana"/>
          <w:sz w:val="20"/>
          <w:szCs w:val="20"/>
        </w:rPr>
        <w:t xml:space="preserve"> e L</w:t>
      </w:r>
      <w:r w:rsidR="00A439F6">
        <w:rPr>
          <w:rFonts w:ascii="Verdana" w:hAnsi="Verdana"/>
          <w:sz w:val="20"/>
        </w:rPr>
        <w:t>ombardia/122/2011/PAR del 10 marzo 2011</w:t>
      </w:r>
      <w:r w:rsidR="004D4F14">
        <w:rPr>
          <w:rFonts w:ascii="Verdana" w:hAnsi="Verdana"/>
          <w:sz w:val="20"/>
          <w:szCs w:val="20"/>
        </w:rPr>
        <w:t>)</w:t>
      </w:r>
      <w:r w:rsidR="00B05B1C">
        <w:rPr>
          <w:rFonts w:ascii="Verdana" w:hAnsi="Verdana"/>
          <w:sz w:val="20"/>
          <w:szCs w:val="20"/>
        </w:rPr>
        <w:t>.</w:t>
      </w:r>
    </w:p>
    <w:p w:rsidR="009D2145" w:rsidRDefault="009D2145" w:rsidP="00327E8B">
      <w:pPr>
        <w:ind w:left="851" w:right="851" w:firstLine="360"/>
        <w:rPr>
          <w:rFonts w:ascii="Verdana" w:hAnsi="Verdana"/>
          <w:sz w:val="20"/>
          <w:szCs w:val="20"/>
        </w:rPr>
      </w:pPr>
      <w:r>
        <w:rPr>
          <w:rFonts w:ascii="Verdana" w:hAnsi="Verdana"/>
          <w:sz w:val="20"/>
          <w:szCs w:val="20"/>
        </w:rPr>
        <w:t xml:space="preserve">In maggior dettaglio, con i pareri nn. 1075 e 1076, </w:t>
      </w:r>
      <w:smartTag w:uri="urn:schemas-microsoft-com:office:smarttags" w:element="PersonName">
        <w:smartTagPr>
          <w:attr w:name="ProductID" w:val="la Sezione"/>
        </w:smartTagPr>
        <w:r>
          <w:rPr>
            <w:rFonts w:ascii="Verdana" w:hAnsi="Verdana"/>
            <w:sz w:val="20"/>
            <w:szCs w:val="20"/>
          </w:rPr>
          <w:t>la Sezione</w:t>
        </w:r>
      </w:smartTag>
      <w:r>
        <w:rPr>
          <w:rFonts w:ascii="Verdana" w:hAnsi="Verdana"/>
          <w:sz w:val="20"/>
          <w:szCs w:val="20"/>
        </w:rPr>
        <w:t xml:space="preserve"> ha fornito alcune indicazioni interpretative di carattere generale in ordine al contenuto dell’art. 6, co. 9, cit., ricostruendo, sia dal punto vista normativo sia da quello funzionale, la nozione di sponsorizzazione in relazione all’attività degli enti locali. In questo senso è stato precisato che </w:t>
      </w:r>
      <w:r w:rsidR="004023C2">
        <w:rPr>
          <w:rFonts w:ascii="Verdana" w:hAnsi="Verdana"/>
          <w:sz w:val="20"/>
          <w:szCs w:val="20"/>
        </w:rPr>
        <w:t>&lt;&lt;</w:t>
      </w:r>
      <w:r w:rsidRPr="004023C2">
        <w:rPr>
          <w:rFonts w:ascii="Verdana" w:hAnsi="Verdana"/>
          <w:sz w:val="20"/>
          <w:szCs w:val="20"/>
          <w:u w:val="single"/>
        </w:rPr>
        <w:t>il divieto di spese per sponsorizzazioni ex d.l. n. 78/2010 presuppone, altresì, un vaglio di natura telelogica</w:t>
      </w:r>
      <w:r w:rsidRPr="004023C2">
        <w:rPr>
          <w:rFonts w:ascii="Verdana" w:hAnsi="Verdana"/>
          <w:sz w:val="20"/>
          <w:szCs w:val="20"/>
        </w:rPr>
        <w:t>”, poiché “ciò che assume rilievo per qualificare una contribuzione comunale, a prescindere dalla sua forma, quale spesa di sponsorizzazione (interdetta post d.l. n. 78/2010) è la relativa funzione: la spesa di sponsorizzazione presuppone la semplice finalità di segnalare ai cittadini la presenza del Comune, così da promuoverne l’immagine. Non si configura, invece, quale sponsorizzazione il sostegno di iniziative di un soggetto terzo, rientranti nei compiti del Comune, nell’interesse della collettività anche sulla scorta dei principi di sussidiarietà orizzontale ex art. 118 Cost.</w:t>
      </w:r>
      <w:r w:rsidR="004023C2">
        <w:rPr>
          <w:rFonts w:ascii="Verdana" w:hAnsi="Verdana"/>
          <w:sz w:val="20"/>
          <w:szCs w:val="20"/>
        </w:rPr>
        <w:t>&gt;&gt;.</w:t>
      </w:r>
    </w:p>
    <w:p w:rsidR="009D2145" w:rsidRDefault="009D2145" w:rsidP="00327E8B">
      <w:pPr>
        <w:ind w:left="851" w:right="851" w:firstLine="360"/>
        <w:rPr>
          <w:rFonts w:ascii="Verdana" w:hAnsi="Verdana"/>
          <w:sz w:val="20"/>
          <w:szCs w:val="20"/>
        </w:rPr>
      </w:pPr>
      <w:smartTag w:uri="urn:schemas-microsoft-com:office:smarttags" w:element="PersonName">
        <w:smartTagPr>
          <w:attr w:name="ProductID" w:val="la Sezione"/>
        </w:smartTagPr>
        <w:r>
          <w:rPr>
            <w:rFonts w:ascii="Verdana" w:hAnsi="Verdana"/>
            <w:sz w:val="20"/>
            <w:szCs w:val="20"/>
          </w:rPr>
          <w:t>La Sezione</w:t>
        </w:r>
      </w:smartTag>
      <w:r>
        <w:rPr>
          <w:rFonts w:ascii="Verdana" w:hAnsi="Verdana"/>
          <w:sz w:val="20"/>
          <w:szCs w:val="20"/>
        </w:rPr>
        <w:t xml:space="preserve"> ha rilevato, dunque, che </w:t>
      </w:r>
      <w:r w:rsidR="004023C2">
        <w:rPr>
          <w:rFonts w:ascii="Verdana" w:hAnsi="Verdana"/>
          <w:sz w:val="20"/>
          <w:szCs w:val="20"/>
        </w:rPr>
        <w:t>&lt;&lt;</w:t>
      </w:r>
      <w:r w:rsidRPr="004023C2">
        <w:rPr>
          <w:rFonts w:ascii="Verdana" w:hAnsi="Verdana"/>
          <w:sz w:val="20"/>
          <w:szCs w:val="20"/>
        </w:rPr>
        <w:t xml:space="preserve">tra le molteplici forme di sostegno all’associazionismo locale l’elemento che connota, nell’ordinamento giuscontabile, le contribuzioni tutt’ora ammesse (distinguendole dalle spese di sponsorizzazione ormai vietate) è </w:t>
      </w:r>
      <w:r w:rsidRPr="004023C2">
        <w:rPr>
          <w:rFonts w:ascii="Verdana" w:hAnsi="Verdana"/>
          <w:sz w:val="20"/>
          <w:szCs w:val="20"/>
          <w:u w:val="single"/>
        </w:rPr>
        <w:t>lo svolgimento da parte del privato di un’attività propria del Comune in forma sussidiaria</w:t>
      </w:r>
      <w:r w:rsidRPr="004023C2">
        <w:rPr>
          <w:rFonts w:ascii="Verdana" w:hAnsi="Verdana"/>
          <w:sz w:val="20"/>
          <w:szCs w:val="20"/>
        </w:rPr>
        <w:t xml:space="preserve">. L’attività, dunque, deve rientrare nelle competenze dell’ente locale e viene esercitata, in via mediata, da soggetti privati destinatari di risorse pubbliche piuttosto che (direttamente) da parte di Comuni e Province, rappresentando una modalità alternativa di </w:t>
      </w:r>
      <w:r w:rsidRPr="004023C2">
        <w:rPr>
          <w:rFonts w:ascii="Verdana" w:hAnsi="Verdana"/>
          <w:sz w:val="20"/>
          <w:szCs w:val="20"/>
        </w:rPr>
        <w:lastRenderedPageBreak/>
        <w:t>erogazione del servizio pubblico e non una forma di promozione dell’immagine dell’Amministrazione</w:t>
      </w:r>
      <w:r w:rsidR="004023C2">
        <w:rPr>
          <w:rFonts w:ascii="Verdana" w:hAnsi="Verdana"/>
          <w:sz w:val="20"/>
          <w:szCs w:val="20"/>
        </w:rPr>
        <w:t xml:space="preserve">&gt;&gt; </w:t>
      </w:r>
      <w:r>
        <w:rPr>
          <w:rFonts w:ascii="Verdana" w:hAnsi="Verdana"/>
          <w:sz w:val="20"/>
          <w:szCs w:val="20"/>
        </w:rPr>
        <w:t>(delibera n. 1075 del 2010).</w:t>
      </w:r>
    </w:p>
    <w:p w:rsidR="009D2145" w:rsidRDefault="009D2145" w:rsidP="00327E8B">
      <w:pPr>
        <w:ind w:left="851" w:right="851" w:firstLine="360"/>
        <w:rPr>
          <w:rFonts w:ascii="Verdana" w:hAnsi="Verdana"/>
          <w:sz w:val="20"/>
          <w:szCs w:val="20"/>
        </w:rPr>
      </w:pPr>
      <w:r>
        <w:rPr>
          <w:rFonts w:ascii="Verdana" w:hAnsi="Verdana"/>
          <w:sz w:val="20"/>
          <w:szCs w:val="20"/>
        </w:rPr>
        <w:t xml:space="preserve">Dunque, con le citate delibere n. 1075 e n. 1076, </w:t>
      </w:r>
      <w:smartTag w:uri="urn:schemas-microsoft-com:office:smarttags" w:element="PersonName">
        <w:smartTagPr>
          <w:attr w:name="ProductID" w:val="la Sezione"/>
        </w:smartTagPr>
        <w:r>
          <w:rPr>
            <w:rFonts w:ascii="Verdana" w:hAnsi="Verdana"/>
            <w:sz w:val="20"/>
            <w:szCs w:val="20"/>
          </w:rPr>
          <w:t>la Sezione</w:t>
        </w:r>
      </w:smartTag>
      <w:r>
        <w:rPr>
          <w:rFonts w:ascii="Verdana" w:hAnsi="Verdana"/>
          <w:sz w:val="20"/>
          <w:szCs w:val="20"/>
        </w:rPr>
        <w:t xml:space="preserve"> si è pronunciata in ordine alla possibilità dell’ente locale di erogare specifici contribuiti in relazione ad attività promo</w:t>
      </w:r>
      <w:r w:rsidR="00327E8B">
        <w:rPr>
          <w:rFonts w:ascii="Verdana" w:hAnsi="Verdana"/>
          <w:sz w:val="20"/>
          <w:szCs w:val="20"/>
        </w:rPr>
        <w:t xml:space="preserve">sse dalle Associazioni locali. </w:t>
      </w:r>
      <w:r w:rsidR="00327E8B">
        <w:rPr>
          <w:rFonts w:ascii="Verdana" w:hAnsi="Verdana"/>
          <w:sz w:val="20"/>
        </w:rPr>
        <w:t>Inoltre</w:t>
      </w:r>
      <w:r w:rsidR="00327E8B">
        <w:rPr>
          <w:rFonts w:ascii="Verdana" w:hAnsi="Verdana"/>
          <w:sz w:val="20"/>
          <w:szCs w:val="20"/>
        </w:rPr>
        <w:t>, c</w:t>
      </w:r>
      <w:r>
        <w:rPr>
          <w:rFonts w:ascii="Verdana" w:hAnsi="Verdana"/>
          <w:sz w:val="20"/>
          <w:szCs w:val="20"/>
        </w:rPr>
        <w:t>on la successiva deliberazione L</w:t>
      </w:r>
      <w:r>
        <w:rPr>
          <w:rFonts w:ascii="Verdana" w:hAnsi="Verdana"/>
          <w:sz w:val="20"/>
        </w:rPr>
        <w:t xml:space="preserve">ombardia/122/2011/PAR del 10 marzo 2011, è stata affrontata l’ulteriore questione circa la </w:t>
      </w:r>
      <w:r>
        <w:rPr>
          <w:rFonts w:ascii="Verdana" w:hAnsi="Verdana"/>
          <w:sz w:val="20"/>
          <w:szCs w:val="20"/>
        </w:rPr>
        <w:t>possibilità o meno di erogare una contribuzione annuale alle Associazioni che operano sul territorio dell’ente locale e che sono iscritte in un apposito registro</w:t>
      </w:r>
      <w:r w:rsidR="00327E8B">
        <w:rPr>
          <w:rFonts w:ascii="Verdana" w:hAnsi="Verdana"/>
          <w:sz w:val="20"/>
          <w:szCs w:val="20"/>
        </w:rPr>
        <w:t>.</w:t>
      </w:r>
    </w:p>
    <w:p w:rsidR="009D2145" w:rsidRDefault="00327E8B" w:rsidP="00327E8B">
      <w:pPr>
        <w:ind w:left="851" w:right="851" w:firstLine="708"/>
        <w:rPr>
          <w:rFonts w:ascii="Verdana" w:hAnsi="Verdana"/>
          <w:sz w:val="20"/>
          <w:szCs w:val="20"/>
        </w:rPr>
      </w:pPr>
      <w:r>
        <w:rPr>
          <w:rFonts w:ascii="Verdana" w:hAnsi="Verdana" w:cs="Verdana"/>
          <w:color w:val="000000"/>
          <w:sz w:val="20"/>
          <w:szCs w:val="20"/>
        </w:rPr>
        <w:t>In particolare, è stato precisato &lt;&lt;</w:t>
      </w:r>
      <w:r w:rsidR="009D2145">
        <w:rPr>
          <w:rFonts w:ascii="Verdana" w:hAnsi="Verdana" w:cs="Verdana"/>
          <w:color w:val="000000"/>
          <w:sz w:val="20"/>
          <w:szCs w:val="20"/>
        </w:rPr>
        <w:t xml:space="preserve">che il criterio da utilizzare per verificare se le contribuzioni una </w:t>
      </w:r>
      <w:r w:rsidR="009D2145" w:rsidRPr="00327E8B">
        <w:rPr>
          <w:rFonts w:ascii="Verdana" w:hAnsi="Verdana" w:cs="Verdana"/>
          <w:i/>
          <w:color w:val="000000"/>
          <w:sz w:val="20"/>
          <w:szCs w:val="20"/>
        </w:rPr>
        <w:t xml:space="preserve">tantum </w:t>
      </w:r>
      <w:r w:rsidR="009D2145">
        <w:rPr>
          <w:rFonts w:ascii="Verdana" w:hAnsi="Verdana" w:cs="Verdana"/>
          <w:color w:val="000000"/>
          <w:sz w:val="20"/>
          <w:szCs w:val="20"/>
        </w:rPr>
        <w:t xml:space="preserve">alle Associazioni che operano sul territorio rientrino o meno nel divieto previsto dall’art. 6, co. 9 è il medesimo. Se il contributo è erogato dal Comune unicamente per </w:t>
      </w:r>
      <w:r w:rsidR="009D2145">
        <w:rPr>
          <w:rFonts w:ascii="Verdana" w:hAnsi="Verdana"/>
          <w:sz w:val="20"/>
          <w:szCs w:val="20"/>
        </w:rPr>
        <w:t>promuovere l’immagine dell’ente locale, lo stesso rientra fra le spese di sponsorizzazione vietate</w:t>
      </w:r>
      <w:r w:rsidR="004023C2">
        <w:rPr>
          <w:rFonts w:ascii="Verdana" w:hAnsi="Verdana"/>
          <w:sz w:val="20"/>
          <w:szCs w:val="20"/>
        </w:rPr>
        <w:t xml:space="preserve"> a partire dal 1° gennaio 2011.</w:t>
      </w:r>
    </w:p>
    <w:p w:rsidR="009D2145" w:rsidRDefault="009D2145" w:rsidP="00327E8B">
      <w:pPr>
        <w:ind w:left="851" w:right="851" w:firstLine="708"/>
        <w:rPr>
          <w:rFonts w:ascii="Verdana" w:hAnsi="Verdana"/>
          <w:sz w:val="20"/>
          <w:szCs w:val="20"/>
        </w:rPr>
      </w:pPr>
      <w:r>
        <w:rPr>
          <w:rFonts w:ascii="Verdana" w:hAnsi="Verdana"/>
          <w:sz w:val="20"/>
          <w:szCs w:val="20"/>
        </w:rPr>
        <w:t xml:space="preserve">Se, al contrario, la finalità perseguita con l’erogazione del contributo è quella di sostenere le associazioni che presentino specifiche caratteristiche di collegamento con </w:t>
      </w:r>
      <w:smartTag w:uri="urn:schemas-microsoft-com:office:smarttags" w:element="PersonName">
        <w:smartTagPr>
          <w:attr w:name="ProductID" w:val="la Comunit￠"/>
        </w:smartTagPr>
        <w:r>
          <w:rPr>
            <w:rFonts w:ascii="Verdana" w:hAnsi="Verdana"/>
            <w:sz w:val="20"/>
            <w:szCs w:val="20"/>
          </w:rPr>
          <w:t>la Comunità</w:t>
        </w:r>
      </w:smartTag>
      <w:r>
        <w:rPr>
          <w:rFonts w:ascii="Verdana" w:hAnsi="Verdana"/>
          <w:sz w:val="20"/>
          <w:szCs w:val="20"/>
        </w:rPr>
        <w:t xml:space="preserve"> locale, risultanti sia dall’iscrizione nel Registro locale che dallo svolgimento di attività e prestazioni in favore della Comunità insediata sul territorio sul quale insiste l’ente locale, si è in presenza di prestazioni che non rientrano nella nozione di spesa per sponsorizzazione e che, come tali, sono ammissibili, nei limiti delle risorse finanziarie dell’ente locale e nel rispetto dei vincoli di finanza pubblica di carattere generale.</w:t>
      </w:r>
    </w:p>
    <w:p w:rsidR="009D2145" w:rsidRDefault="009D2145" w:rsidP="00327E8B">
      <w:pPr>
        <w:ind w:left="851" w:right="851" w:firstLine="360"/>
        <w:rPr>
          <w:rFonts w:ascii="Verdana" w:hAnsi="Verdana"/>
          <w:sz w:val="20"/>
          <w:szCs w:val="20"/>
        </w:rPr>
      </w:pPr>
      <w:r>
        <w:rPr>
          <w:rFonts w:ascii="Verdana" w:hAnsi="Verdana"/>
          <w:sz w:val="20"/>
          <w:szCs w:val="20"/>
        </w:rPr>
        <w:t>Al riguardo, al fine di disciplinare in modo rigoroso la distinzione fra le due situazioni sarebbe utile che il Regolamento dell’ente prevedesse in modo chiaro le caratteristiche che devono avere le associazioni beneficiarie del contributo, individuando anche gli ambiti di operatività in relazione alle necessità della comunità locale e le modalità di iscrizione nell’elenco</w:t>
      </w:r>
      <w:r w:rsidR="00327E8B">
        <w:rPr>
          <w:rFonts w:ascii="Verdana" w:hAnsi="Verdana"/>
          <w:sz w:val="20"/>
          <w:szCs w:val="20"/>
        </w:rPr>
        <w:t>&gt;&gt;</w:t>
      </w:r>
      <w:r>
        <w:rPr>
          <w:rFonts w:ascii="Verdana" w:hAnsi="Verdana"/>
          <w:sz w:val="20"/>
          <w:szCs w:val="20"/>
        </w:rPr>
        <w:t>.</w:t>
      </w:r>
    </w:p>
    <w:p w:rsidR="00327E8B" w:rsidRDefault="00327E8B" w:rsidP="00327E8B">
      <w:pPr>
        <w:ind w:left="851" w:right="851" w:firstLine="360"/>
        <w:rPr>
          <w:rFonts w:ascii="Verdana" w:hAnsi="Verdana"/>
          <w:sz w:val="20"/>
          <w:szCs w:val="20"/>
        </w:rPr>
      </w:pPr>
      <w:r>
        <w:rPr>
          <w:rFonts w:ascii="Verdana" w:hAnsi="Verdana"/>
          <w:sz w:val="20"/>
          <w:szCs w:val="20"/>
        </w:rPr>
        <w:t>Dunque, in questa sede, è sufficiente richiamare le conclusioni di cui al parere da ultimo citato in cui si ribadisce che &lt;&lt;</w:t>
      </w:r>
      <w:r>
        <w:rPr>
          <w:rFonts w:ascii="Verdana" w:hAnsi="Verdana" w:cs="Arial"/>
          <w:sz w:val="20"/>
          <w:szCs w:val="20"/>
        </w:rPr>
        <w:t>s</w:t>
      </w:r>
      <w:r>
        <w:rPr>
          <w:rFonts w:ascii="Verdana" w:hAnsi="Verdana"/>
          <w:sz w:val="20"/>
          <w:szCs w:val="20"/>
        </w:rPr>
        <w:t xml:space="preserve">e la finalità perseguita dal Comune con l’erogazione di un contributo annuale alle Associazioni che operano sul territorio è quella di sostenere le associazioni locale che abbiano specifiche caratteristiche di collegamento con </w:t>
      </w:r>
      <w:smartTag w:uri="urn:schemas-microsoft-com:office:smarttags" w:element="PersonName">
        <w:smartTagPr>
          <w:attr w:name="ProductID" w:val="la Comunit￠"/>
        </w:smartTagPr>
        <w:r>
          <w:rPr>
            <w:rFonts w:ascii="Verdana" w:hAnsi="Verdana"/>
            <w:sz w:val="20"/>
            <w:szCs w:val="20"/>
          </w:rPr>
          <w:t>la Comunità</w:t>
        </w:r>
      </w:smartTag>
      <w:r>
        <w:rPr>
          <w:rFonts w:ascii="Verdana" w:hAnsi="Verdana"/>
          <w:sz w:val="20"/>
          <w:szCs w:val="20"/>
        </w:rPr>
        <w:t xml:space="preserve"> locale, risultanti sia dall’iscrizione nel Registro locale che dallo svolgimento di attività e prestazioni in favore della Comunità insediata sul territorio sul quale insiste l’ente locale, si tratta di prestazione che non rientra nella nozione di spesa per sponsorizzazione vietata dall’art. 6, co. 9 del d.l. n. 78, conv. in l. n. 122 del 2010 e, come tale, ammissibile, nei limiti delle risorse finanziarie dell’ente </w:t>
      </w:r>
      <w:r>
        <w:rPr>
          <w:rFonts w:ascii="Verdana" w:hAnsi="Verdana"/>
          <w:sz w:val="20"/>
          <w:szCs w:val="20"/>
        </w:rPr>
        <w:lastRenderedPageBreak/>
        <w:t>locale e nel rispetto dei vincoli di finanza pubblica di carattere generale&gt;&gt; (L</w:t>
      </w:r>
      <w:r>
        <w:rPr>
          <w:rFonts w:ascii="Verdana" w:hAnsi="Verdana"/>
          <w:sz w:val="20"/>
        </w:rPr>
        <w:t>ombardia/122/2011/PAR del 10 marzo 2011</w:t>
      </w:r>
      <w:r>
        <w:rPr>
          <w:rFonts w:ascii="Verdana" w:hAnsi="Verdana"/>
          <w:sz w:val="20"/>
          <w:szCs w:val="20"/>
        </w:rPr>
        <w:t>).</w:t>
      </w:r>
    </w:p>
    <w:p w:rsidR="00B91240" w:rsidRDefault="00B91240" w:rsidP="00327E8B">
      <w:pPr>
        <w:ind w:left="851" w:right="851" w:firstLine="360"/>
        <w:jc w:val="center"/>
        <w:rPr>
          <w:rFonts w:ascii="Verdana" w:hAnsi="Verdana"/>
          <w:b/>
          <w:sz w:val="20"/>
          <w:szCs w:val="20"/>
        </w:rPr>
      </w:pPr>
      <w:r>
        <w:rPr>
          <w:rFonts w:ascii="Verdana" w:hAnsi="Verdana"/>
          <w:b/>
          <w:sz w:val="20"/>
          <w:szCs w:val="20"/>
        </w:rPr>
        <w:t>P.Q.M.</w:t>
      </w:r>
    </w:p>
    <w:p w:rsidR="00B91240" w:rsidRDefault="00B91240" w:rsidP="00327E8B">
      <w:pPr>
        <w:ind w:left="851" w:right="851" w:firstLine="360"/>
        <w:rPr>
          <w:rFonts w:ascii="Verdana" w:hAnsi="Verdana"/>
          <w:sz w:val="20"/>
          <w:szCs w:val="20"/>
        </w:rPr>
      </w:pPr>
      <w:r>
        <w:rPr>
          <w:rFonts w:ascii="Verdana" w:hAnsi="Verdana"/>
          <w:sz w:val="20"/>
          <w:szCs w:val="20"/>
        </w:rPr>
        <w:t>Nelle considerazioni esposte è il parere della Sezione.</w:t>
      </w:r>
    </w:p>
    <w:p w:rsidR="00B91240" w:rsidRDefault="00B91240" w:rsidP="00327E8B">
      <w:pPr>
        <w:ind w:left="851" w:right="851" w:firstLine="360"/>
        <w:rPr>
          <w:rFonts w:ascii="Verdana" w:hAnsi="Verdana"/>
          <w:sz w:val="20"/>
          <w:szCs w:val="20"/>
        </w:rPr>
      </w:pPr>
    </w:p>
    <w:p w:rsidR="00B91240" w:rsidRDefault="00B91240" w:rsidP="00327E8B">
      <w:pPr>
        <w:pStyle w:val="Testodelblocco1"/>
        <w:spacing w:line="360" w:lineRule="auto"/>
        <w:ind w:firstLine="360"/>
        <w:rPr>
          <w:rFonts w:ascii="Verdana" w:hAnsi="Verdana"/>
          <w:sz w:val="20"/>
          <w:szCs w:val="20"/>
        </w:rPr>
      </w:pPr>
      <w:r>
        <w:rPr>
          <w:rFonts w:ascii="Verdana" w:hAnsi="Verdana"/>
          <w:sz w:val="20"/>
          <w:szCs w:val="20"/>
        </w:rPr>
        <w:t xml:space="preserve">Il Relatore </w:t>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t xml:space="preserve">   Il Presidente </w:t>
      </w:r>
    </w:p>
    <w:p w:rsidR="00B91240" w:rsidRDefault="00B91240" w:rsidP="00327E8B">
      <w:pPr>
        <w:ind w:left="851" w:right="851" w:firstLine="360"/>
        <w:rPr>
          <w:rFonts w:ascii="Verdana" w:hAnsi="Verdana"/>
          <w:sz w:val="20"/>
          <w:szCs w:val="20"/>
        </w:rPr>
      </w:pPr>
      <w:r>
        <w:rPr>
          <w:rFonts w:ascii="Verdana" w:hAnsi="Verdana"/>
          <w:sz w:val="20"/>
          <w:szCs w:val="20"/>
        </w:rPr>
        <w:t>(Dott.ssa Laura De Rentiis)</w:t>
      </w:r>
      <w:r>
        <w:rPr>
          <w:rFonts w:ascii="Verdana" w:hAnsi="Verdana"/>
          <w:sz w:val="20"/>
          <w:szCs w:val="20"/>
        </w:rPr>
        <w:tab/>
      </w:r>
      <w:r>
        <w:rPr>
          <w:rFonts w:ascii="Verdana" w:hAnsi="Verdana"/>
          <w:sz w:val="20"/>
          <w:szCs w:val="20"/>
        </w:rPr>
        <w:tab/>
        <w:t xml:space="preserve">            (Dott. Nicola Mastropasqua)</w:t>
      </w:r>
    </w:p>
    <w:p w:rsidR="00B91240" w:rsidRDefault="00B91240" w:rsidP="00327E8B">
      <w:pPr>
        <w:ind w:left="851" w:right="851" w:firstLine="360"/>
        <w:rPr>
          <w:rFonts w:ascii="Verdana" w:hAnsi="Verdana"/>
          <w:sz w:val="20"/>
          <w:szCs w:val="20"/>
        </w:rPr>
      </w:pPr>
    </w:p>
    <w:p w:rsidR="00B91240" w:rsidRDefault="00B91240" w:rsidP="00327E8B">
      <w:pPr>
        <w:ind w:left="851" w:right="851" w:firstLine="360"/>
        <w:jc w:val="center"/>
        <w:rPr>
          <w:rFonts w:ascii="Verdana" w:hAnsi="Verdana"/>
          <w:sz w:val="20"/>
          <w:szCs w:val="20"/>
        </w:rPr>
      </w:pPr>
      <w:r>
        <w:rPr>
          <w:rFonts w:ascii="Verdana" w:hAnsi="Verdana"/>
          <w:sz w:val="20"/>
          <w:szCs w:val="20"/>
        </w:rPr>
        <w:t xml:space="preserve">     Depositata in Segreteria</w:t>
      </w:r>
      <w:r w:rsidR="00787EB8">
        <w:rPr>
          <w:rFonts w:ascii="Verdana" w:hAnsi="Verdana"/>
          <w:sz w:val="20"/>
          <w:szCs w:val="20"/>
        </w:rPr>
        <w:t xml:space="preserve"> il </w:t>
      </w:r>
    </w:p>
    <w:p w:rsidR="00787EB8" w:rsidRDefault="00A04E55" w:rsidP="00327E8B">
      <w:pPr>
        <w:ind w:left="851" w:right="851" w:firstLine="360"/>
        <w:jc w:val="center"/>
        <w:rPr>
          <w:rFonts w:ascii="Verdana" w:hAnsi="Verdana"/>
          <w:sz w:val="20"/>
          <w:szCs w:val="20"/>
        </w:rPr>
      </w:pPr>
      <w:r>
        <w:rPr>
          <w:rFonts w:ascii="Verdana" w:hAnsi="Verdana"/>
          <w:sz w:val="20"/>
          <w:szCs w:val="20"/>
        </w:rPr>
        <w:t>16 maggio 2011</w:t>
      </w:r>
    </w:p>
    <w:p w:rsidR="00787EB8" w:rsidRDefault="00787EB8" w:rsidP="00327E8B">
      <w:pPr>
        <w:ind w:left="851" w:right="851" w:firstLine="360"/>
        <w:jc w:val="center"/>
        <w:rPr>
          <w:rFonts w:ascii="Verdana" w:hAnsi="Verdana"/>
          <w:sz w:val="20"/>
          <w:szCs w:val="20"/>
        </w:rPr>
      </w:pPr>
      <w:r>
        <w:rPr>
          <w:rFonts w:ascii="Verdana" w:hAnsi="Verdana"/>
          <w:sz w:val="20"/>
          <w:szCs w:val="20"/>
        </w:rPr>
        <w:t>Il Direttore della Segreteria</w:t>
      </w:r>
    </w:p>
    <w:p w:rsidR="00787EB8" w:rsidRDefault="00787EB8" w:rsidP="00327E8B">
      <w:pPr>
        <w:ind w:left="851" w:right="851" w:firstLine="360"/>
        <w:jc w:val="center"/>
        <w:rPr>
          <w:rFonts w:ascii="Verdana" w:hAnsi="Verdana"/>
          <w:sz w:val="20"/>
          <w:szCs w:val="20"/>
        </w:rPr>
      </w:pPr>
      <w:r>
        <w:rPr>
          <w:rFonts w:ascii="Verdana" w:hAnsi="Verdana"/>
          <w:sz w:val="20"/>
          <w:szCs w:val="20"/>
        </w:rPr>
        <w:t xml:space="preserve">         (Dott.ssa Daniela Parisini)</w:t>
      </w:r>
    </w:p>
    <w:p w:rsidR="00B91240" w:rsidRDefault="00B91240"/>
    <w:sectPr w:rsidR="00B91240">
      <w:footerReference w:type="even" r:id="rId9"/>
      <w:footerReference w:type="default" r:id="rId10"/>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73D7" w:rsidRDefault="004773D7">
      <w:r>
        <w:separator/>
      </w:r>
    </w:p>
  </w:endnote>
  <w:endnote w:type="continuationSeparator" w:id="0">
    <w:p w:rsidR="004773D7" w:rsidRDefault="00477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Trebuchet MS">
    <w:panose1 w:val="020B0603020202020204"/>
    <w:charset w:val="00"/>
    <w:family w:val="swiss"/>
    <w:pitch w:val="variable"/>
    <w:sig w:usb0="00000287" w:usb1="00000003"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23C2" w:rsidRDefault="004023C2" w:rsidP="004E5581">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rsidR="004023C2" w:rsidRDefault="004023C2">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23C2" w:rsidRDefault="004023C2" w:rsidP="004E5581">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C17746">
      <w:rPr>
        <w:rStyle w:val="Numeropagina"/>
        <w:noProof/>
      </w:rPr>
      <w:t>1</w:t>
    </w:r>
    <w:r>
      <w:rPr>
        <w:rStyle w:val="Numeropagina"/>
      </w:rPr>
      <w:fldChar w:fldCharType="end"/>
    </w:r>
  </w:p>
  <w:p w:rsidR="004023C2" w:rsidRDefault="004023C2">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73D7" w:rsidRDefault="004773D7">
      <w:r>
        <w:separator/>
      </w:r>
    </w:p>
  </w:footnote>
  <w:footnote w:type="continuationSeparator" w:id="0">
    <w:p w:rsidR="004773D7" w:rsidRDefault="004773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nsid w:val="00000003"/>
    <w:multiLevelType w:val="multilevel"/>
    <w:tmpl w:val="00000003"/>
    <w:name w:val="WW8Num3"/>
    <w:lvl w:ilvl="0">
      <w:start w:val="2"/>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num>
  <w:num w:numId="3">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7EB8"/>
    <w:rsid w:val="00016086"/>
    <w:rsid w:val="00062794"/>
    <w:rsid w:val="000753D1"/>
    <w:rsid w:val="000930B3"/>
    <w:rsid w:val="001722C9"/>
    <w:rsid w:val="001B5AFC"/>
    <w:rsid w:val="001E0722"/>
    <w:rsid w:val="001E34D6"/>
    <w:rsid w:val="00227B5F"/>
    <w:rsid w:val="0023250E"/>
    <w:rsid w:val="002461E9"/>
    <w:rsid w:val="0026108A"/>
    <w:rsid w:val="00327E8B"/>
    <w:rsid w:val="003D207C"/>
    <w:rsid w:val="003E03D1"/>
    <w:rsid w:val="003F36D8"/>
    <w:rsid w:val="003F3E9A"/>
    <w:rsid w:val="004023C2"/>
    <w:rsid w:val="00472224"/>
    <w:rsid w:val="004773D7"/>
    <w:rsid w:val="004D4F14"/>
    <w:rsid w:val="004E5581"/>
    <w:rsid w:val="00516CFA"/>
    <w:rsid w:val="00591637"/>
    <w:rsid w:val="005B42B2"/>
    <w:rsid w:val="0069465D"/>
    <w:rsid w:val="006A7575"/>
    <w:rsid w:val="006B7E57"/>
    <w:rsid w:val="006D3369"/>
    <w:rsid w:val="006E6A4E"/>
    <w:rsid w:val="006F0A62"/>
    <w:rsid w:val="0070045A"/>
    <w:rsid w:val="00787EB8"/>
    <w:rsid w:val="007F129C"/>
    <w:rsid w:val="007F3889"/>
    <w:rsid w:val="007F73A3"/>
    <w:rsid w:val="0087309E"/>
    <w:rsid w:val="008B0F08"/>
    <w:rsid w:val="008D111D"/>
    <w:rsid w:val="008D6448"/>
    <w:rsid w:val="009D2145"/>
    <w:rsid w:val="009E02D9"/>
    <w:rsid w:val="00A016F8"/>
    <w:rsid w:val="00A04E55"/>
    <w:rsid w:val="00A439F6"/>
    <w:rsid w:val="00A832A9"/>
    <w:rsid w:val="00AC13FA"/>
    <w:rsid w:val="00B05B1C"/>
    <w:rsid w:val="00B91240"/>
    <w:rsid w:val="00BB36E8"/>
    <w:rsid w:val="00BE72C8"/>
    <w:rsid w:val="00C06944"/>
    <w:rsid w:val="00C17746"/>
    <w:rsid w:val="00C65058"/>
    <w:rsid w:val="00C65857"/>
    <w:rsid w:val="00CB43EF"/>
    <w:rsid w:val="00D3135D"/>
    <w:rsid w:val="00D315E0"/>
    <w:rsid w:val="00D83AF6"/>
    <w:rsid w:val="00DB5BDF"/>
    <w:rsid w:val="00DB5F71"/>
    <w:rsid w:val="00E12288"/>
    <w:rsid w:val="00E1411B"/>
    <w:rsid w:val="00E14C82"/>
    <w:rsid w:val="00E6079C"/>
    <w:rsid w:val="00E63A15"/>
    <w:rsid w:val="00F1760E"/>
    <w:rsid w:val="00F6039A"/>
    <w:rsid w:val="00F97B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metricconverter"/>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pPr>
      <w:spacing w:line="360" w:lineRule="auto"/>
      <w:ind w:firstLine="709"/>
      <w:jc w:val="both"/>
    </w:pPr>
    <w:rPr>
      <w:sz w:val="24"/>
      <w:szCs w:val="24"/>
    </w:rPr>
  </w:style>
  <w:style w:type="paragraph" w:styleId="Titolo1">
    <w:name w:val="heading 1"/>
    <w:basedOn w:val="Normale"/>
    <w:next w:val="Normale"/>
    <w:qFormat/>
    <w:pPr>
      <w:keepNext/>
      <w:widowControl w:val="0"/>
      <w:numPr>
        <w:numId w:val="2"/>
      </w:numPr>
      <w:suppressAutoHyphens/>
      <w:ind w:right="851"/>
      <w:jc w:val="center"/>
      <w:outlineLvl w:val="0"/>
    </w:pPr>
    <w:rPr>
      <w:rFonts w:ascii="Verdana" w:eastAsia="Lucida Sans Unicode" w:hAnsi="Verdana"/>
      <w:b/>
      <w:kern w:val="2"/>
      <w:sz w:val="20"/>
      <w:lang w:eastAsia="ar-SA"/>
    </w:rPr>
  </w:style>
  <w:style w:type="paragraph" w:styleId="Titolo2">
    <w:name w:val="heading 2"/>
    <w:basedOn w:val="Normale"/>
    <w:next w:val="Normale"/>
    <w:qFormat/>
    <w:pPr>
      <w:keepNext/>
      <w:widowControl w:val="0"/>
      <w:suppressAutoHyphens/>
      <w:ind w:left="851" w:right="851" w:firstLine="0"/>
      <w:jc w:val="center"/>
      <w:outlineLvl w:val="1"/>
    </w:pPr>
    <w:rPr>
      <w:rFonts w:ascii="Verdana" w:eastAsia="Lucida Sans Unicode" w:hAnsi="Verdana"/>
      <w:b/>
      <w:kern w:val="2"/>
      <w:sz w:val="20"/>
      <w:lang w:eastAsia="ar-SA"/>
    </w:rPr>
  </w:style>
  <w:style w:type="paragraph" w:styleId="Titolo3">
    <w:name w:val="heading 3"/>
    <w:basedOn w:val="Normale"/>
    <w:next w:val="Normale"/>
    <w:qFormat/>
    <w:pPr>
      <w:keepNext/>
      <w:widowControl w:val="0"/>
      <w:suppressAutoHyphens/>
      <w:ind w:left="851" w:right="851"/>
      <w:jc w:val="center"/>
      <w:outlineLvl w:val="2"/>
    </w:pPr>
    <w:rPr>
      <w:rFonts w:ascii="Verdana" w:eastAsia="Lucida Sans Unicode" w:hAnsi="Verdana"/>
      <w:b/>
      <w:bCs/>
      <w:kern w:val="2"/>
      <w:sz w:val="20"/>
      <w:lang w:eastAsia="ar-SA"/>
    </w:rPr>
  </w:style>
  <w:style w:type="character" w:default="1" w:styleId="Carpredefinitoparagrafo">
    <w:name w:val="Default Paragraph Font"/>
    <w:semiHidden/>
  </w:style>
  <w:style w:type="table" w:default="1" w:styleId="Tabellanormale">
    <w:name w:val="Normal Table"/>
    <w:semiHidden/>
    <w:tblPr>
      <w:tblInd w:w="0" w:type="dxa"/>
      <w:tblCellMar>
        <w:top w:w="0" w:type="dxa"/>
        <w:left w:w="108" w:type="dxa"/>
        <w:bottom w:w="0" w:type="dxa"/>
        <w:right w:w="108" w:type="dxa"/>
      </w:tblCellMar>
    </w:tblPr>
  </w:style>
  <w:style w:type="numbering" w:default="1" w:styleId="Nessunelenco">
    <w:name w:val="No List"/>
    <w:semiHidden/>
  </w:style>
  <w:style w:type="paragraph" w:customStyle="1" w:styleId="Testodelblocco1">
    <w:name w:val="Testo del blocco1"/>
    <w:basedOn w:val="Normale"/>
    <w:pPr>
      <w:widowControl w:val="0"/>
      <w:suppressAutoHyphens/>
      <w:spacing w:line="480" w:lineRule="auto"/>
      <w:ind w:left="851" w:right="851"/>
    </w:pPr>
    <w:rPr>
      <w:rFonts w:eastAsia="Lucida Sans Unicode"/>
      <w:kern w:val="2"/>
      <w:lang w:eastAsia="ar-SA"/>
    </w:rPr>
  </w:style>
  <w:style w:type="paragraph" w:customStyle="1" w:styleId="Testodelblocco2">
    <w:name w:val="Testo del blocco2"/>
    <w:basedOn w:val="Normale"/>
    <w:pPr>
      <w:widowControl w:val="0"/>
      <w:suppressAutoHyphens/>
      <w:ind w:left="850" w:right="850" w:firstLine="710"/>
    </w:pPr>
    <w:rPr>
      <w:rFonts w:ascii="Trebuchet MS" w:eastAsia="Lucida Sans Unicode" w:hAnsi="Trebuchet MS"/>
      <w:kern w:val="2"/>
      <w:lang w:eastAsia="ar-SA"/>
    </w:rPr>
  </w:style>
  <w:style w:type="paragraph" w:styleId="Testodelblocco">
    <w:name w:val="Block Text"/>
    <w:basedOn w:val="Normale"/>
    <w:next w:val="Normale"/>
    <w:pPr>
      <w:widowControl w:val="0"/>
      <w:autoSpaceDE w:val="0"/>
      <w:autoSpaceDN w:val="0"/>
      <w:adjustRightInd w:val="0"/>
      <w:spacing w:line="240" w:lineRule="auto"/>
      <w:ind w:firstLine="0"/>
      <w:jc w:val="left"/>
    </w:pPr>
  </w:style>
  <w:style w:type="paragraph" w:customStyle="1" w:styleId="NormaleVerdana">
    <w:name w:val="Normale + Verdana"/>
    <w:aliases w:val="10 pt,Nero,Giustificato,Sinistro:  1,5 cm,Prima riga: ..."/>
    <w:basedOn w:val="Normale"/>
    <w:pPr>
      <w:spacing w:line="240" w:lineRule="auto"/>
      <w:ind w:left="851" w:right="851"/>
    </w:pPr>
    <w:rPr>
      <w:rFonts w:ascii="Palatino Linotype" w:hAnsi="Palatino Linotype"/>
      <w:color w:val="000000"/>
    </w:rPr>
  </w:style>
  <w:style w:type="paragraph" w:styleId="Pidipagina">
    <w:name w:val="footer"/>
    <w:basedOn w:val="Normale"/>
    <w:rsid w:val="00BB36E8"/>
    <w:pPr>
      <w:tabs>
        <w:tab w:val="center" w:pos="4819"/>
        <w:tab w:val="right" w:pos="9638"/>
      </w:tabs>
    </w:pPr>
  </w:style>
  <w:style w:type="character" w:styleId="Numeropagina">
    <w:name w:val="page number"/>
    <w:basedOn w:val="Carpredefinitoparagrafo"/>
    <w:rsid w:val="00BB36E8"/>
  </w:style>
  <w:style w:type="paragraph" w:styleId="Rientrocorpodeltesto">
    <w:name w:val="Body Text Indent"/>
    <w:basedOn w:val="Normale"/>
    <w:semiHidden/>
    <w:rsid w:val="000930B3"/>
    <w:pPr>
      <w:suppressAutoHyphens/>
      <w:ind w:firstLine="720"/>
    </w:pPr>
    <w:rPr>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pPr>
      <w:spacing w:line="360" w:lineRule="auto"/>
      <w:ind w:firstLine="709"/>
      <w:jc w:val="both"/>
    </w:pPr>
    <w:rPr>
      <w:sz w:val="24"/>
      <w:szCs w:val="24"/>
    </w:rPr>
  </w:style>
  <w:style w:type="paragraph" w:styleId="Titolo1">
    <w:name w:val="heading 1"/>
    <w:basedOn w:val="Normale"/>
    <w:next w:val="Normale"/>
    <w:qFormat/>
    <w:pPr>
      <w:keepNext/>
      <w:widowControl w:val="0"/>
      <w:numPr>
        <w:numId w:val="2"/>
      </w:numPr>
      <w:suppressAutoHyphens/>
      <w:ind w:right="851"/>
      <w:jc w:val="center"/>
      <w:outlineLvl w:val="0"/>
    </w:pPr>
    <w:rPr>
      <w:rFonts w:ascii="Verdana" w:eastAsia="Lucida Sans Unicode" w:hAnsi="Verdana"/>
      <w:b/>
      <w:kern w:val="2"/>
      <w:sz w:val="20"/>
      <w:lang w:eastAsia="ar-SA"/>
    </w:rPr>
  </w:style>
  <w:style w:type="paragraph" w:styleId="Titolo2">
    <w:name w:val="heading 2"/>
    <w:basedOn w:val="Normale"/>
    <w:next w:val="Normale"/>
    <w:qFormat/>
    <w:pPr>
      <w:keepNext/>
      <w:widowControl w:val="0"/>
      <w:suppressAutoHyphens/>
      <w:ind w:left="851" w:right="851" w:firstLine="0"/>
      <w:jc w:val="center"/>
      <w:outlineLvl w:val="1"/>
    </w:pPr>
    <w:rPr>
      <w:rFonts w:ascii="Verdana" w:eastAsia="Lucida Sans Unicode" w:hAnsi="Verdana"/>
      <w:b/>
      <w:kern w:val="2"/>
      <w:sz w:val="20"/>
      <w:lang w:eastAsia="ar-SA"/>
    </w:rPr>
  </w:style>
  <w:style w:type="paragraph" w:styleId="Titolo3">
    <w:name w:val="heading 3"/>
    <w:basedOn w:val="Normale"/>
    <w:next w:val="Normale"/>
    <w:qFormat/>
    <w:pPr>
      <w:keepNext/>
      <w:widowControl w:val="0"/>
      <w:suppressAutoHyphens/>
      <w:ind w:left="851" w:right="851"/>
      <w:jc w:val="center"/>
      <w:outlineLvl w:val="2"/>
    </w:pPr>
    <w:rPr>
      <w:rFonts w:ascii="Verdana" w:eastAsia="Lucida Sans Unicode" w:hAnsi="Verdana"/>
      <w:b/>
      <w:bCs/>
      <w:kern w:val="2"/>
      <w:sz w:val="20"/>
      <w:lang w:eastAsia="ar-SA"/>
    </w:rPr>
  </w:style>
  <w:style w:type="character" w:default="1" w:styleId="Carpredefinitoparagrafo">
    <w:name w:val="Default Paragraph Font"/>
    <w:semiHidden/>
  </w:style>
  <w:style w:type="table" w:default="1" w:styleId="Tabellanormale">
    <w:name w:val="Normal Table"/>
    <w:semiHidden/>
    <w:tblPr>
      <w:tblInd w:w="0" w:type="dxa"/>
      <w:tblCellMar>
        <w:top w:w="0" w:type="dxa"/>
        <w:left w:w="108" w:type="dxa"/>
        <w:bottom w:w="0" w:type="dxa"/>
        <w:right w:w="108" w:type="dxa"/>
      </w:tblCellMar>
    </w:tblPr>
  </w:style>
  <w:style w:type="numbering" w:default="1" w:styleId="Nessunelenco">
    <w:name w:val="No List"/>
    <w:semiHidden/>
  </w:style>
  <w:style w:type="paragraph" w:customStyle="1" w:styleId="Testodelblocco1">
    <w:name w:val="Testo del blocco1"/>
    <w:basedOn w:val="Normale"/>
    <w:pPr>
      <w:widowControl w:val="0"/>
      <w:suppressAutoHyphens/>
      <w:spacing w:line="480" w:lineRule="auto"/>
      <w:ind w:left="851" w:right="851"/>
    </w:pPr>
    <w:rPr>
      <w:rFonts w:eastAsia="Lucida Sans Unicode"/>
      <w:kern w:val="2"/>
      <w:lang w:eastAsia="ar-SA"/>
    </w:rPr>
  </w:style>
  <w:style w:type="paragraph" w:customStyle="1" w:styleId="Testodelblocco2">
    <w:name w:val="Testo del blocco2"/>
    <w:basedOn w:val="Normale"/>
    <w:pPr>
      <w:widowControl w:val="0"/>
      <w:suppressAutoHyphens/>
      <w:ind w:left="850" w:right="850" w:firstLine="710"/>
    </w:pPr>
    <w:rPr>
      <w:rFonts w:ascii="Trebuchet MS" w:eastAsia="Lucida Sans Unicode" w:hAnsi="Trebuchet MS"/>
      <w:kern w:val="2"/>
      <w:lang w:eastAsia="ar-SA"/>
    </w:rPr>
  </w:style>
  <w:style w:type="paragraph" w:styleId="Testodelblocco">
    <w:name w:val="Block Text"/>
    <w:basedOn w:val="Normale"/>
    <w:next w:val="Normale"/>
    <w:pPr>
      <w:widowControl w:val="0"/>
      <w:autoSpaceDE w:val="0"/>
      <w:autoSpaceDN w:val="0"/>
      <w:adjustRightInd w:val="0"/>
      <w:spacing w:line="240" w:lineRule="auto"/>
      <w:ind w:firstLine="0"/>
      <w:jc w:val="left"/>
    </w:pPr>
  </w:style>
  <w:style w:type="paragraph" w:customStyle="1" w:styleId="NormaleVerdana">
    <w:name w:val="Normale + Verdana"/>
    <w:aliases w:val="10 pt,Nero,Giustificato,Sinistro:  1,5 cm,Prima riga: ..."/>
    <w:basedOn w:val="Normale"/>
    <w:pPr>
      <w:spacing w:line="240" w:lineRule="auto"/>
      <w:ind w:left="851" w:right="851"/>
    </w:pPr>
    <w:rPr>
      <w:rFonts w:ascii="Palatino Linotype" w:hAnsi="Palatino Linotype"/>
      <w:color w:val="000000"/>
    </w:rPr>
  </w:style>
  <w:style w:type="paragraph" w:styleId="Pidipagina">
    <w:name w:val="footer"/>
    <w:basedOn w:val="Normale"/>
    <w:rsid w:val="00BB36E8"/>
    <w:pPr>
      <w:tabs>
        <w:tab w:val="center" w:pos="4819"/>
        <w:tab w:val="right" w:pos="9638"/>
      </w:tabs>
    </w:pPr>
  </w:style>
  <w:style w:type="character" w:styleId="Numeropagina">
    <w:name w:val="page number"/>
    <w:basedOn w:val="Carpredefinitoparagrafo"/>
    <w:rsid w:val="00BB36E8"/>
  </w:style>
  <w:style w:type="paragraph" w:styleId="Rientrocorpodeltesto">
    <w:name w:val="Body Text Indent"/>
    <w:basedOn w:val="Normale"/>
    <w:semiHidden/>
    <w:rsid w:val="000930B3"/>
    <w:pPr>
      <w:suppressAutoHyphens/>
      <w:ind w:firstLine="720"/>
    </w:pPr>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2321</Words>
  <Characters>13235</Characters>
  <Application>Microsoft Office Word</Application>
  <DocSecurity>0</DocSecurity>
  <Lines>110</Lines>
  <Paragraphs>31</Paragraphs>
  <ScaleCrop>false</ScaleCrop>
  <HeadingPairs>
    <vt:vector size="2" baseType="variant">
      <vt:variant>
        <vt:lpstr>Titolo</vt:lpstr>
      </vt:variant>
      <vt:variant>
        <vt:i4>1</vt:i4>
      </vt:variant>
    </vt:vector>
  </HeadingPairs>
  <TitlesOfParts>
    <vt:vector size="1" baseType="lpstr">
      <vt:lpstr>Lombardia/       /2010/PAR</vt:lpstr>
    </vt:vector>
  </TitlesOfParts>
  <Company/>
  <LinksUpToDate>false</LinksUpToDate>
  <CharactersWithSpaces>15525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Lombardia/       /2010/PAR</dc:title>
  <dc:creator>lderentiis</dc:creator>
  <cp:lastModifiedBy>Ettore</cp:lastModifiedBy>
  <cp:revision>2</cp:revision>
  <dcterms:created xsi:type="dcterms:W3CDTF">2019-08-17T13:47:00Z</dcterms:created>
  <dcterms:modified xsi:type="dcterms:W3CDTF">2019-08-17T13:47:00Z</dcterms:modified>
</cp:coreProperties>
</file>